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19" w:rsidRPr="00FF2AA2" w:rsidRDefault="001B0519" w:rsidP="00E03D35">
      <w:pPr>
        <w:jc w:val="center"/>
        <w:rPr>
          <w:rFonts w:ascii="Book Antiqua" w:hAnsi="Book Antiqua"/>
          <w:i/>
          <w:sz w:val="24"/>
          <w:szCs w:val="24"/>
        </w:rPr>
      </w:pPr>
      <w:r w:rsidRPr="00FF2AA2">
        <w:rPr>
          <w:rFonts w:ascii="Book Antiqua" w:hAnsi="Book Antiqua"/>
          <w:i/>
          <w:sz w:val="24"/>
          <w:szCs w:val="24"/>
        </w:rPr>
        <w:t>Overview</w:t>
      </w:r>
    </w:p>
    <w:p w:rsidR="001B0519" w:rsidRPr="00FF2AA2" w:rsidRDefault="001B0519" w:rsidP="00E03D35">
      <w:pPr>
        <w:jc w:val="center"/>
        <w:rPr>
          <w:rFonts w:ascii="Book Antiqua" w:hAnsi="Book Antiqua"/>
          <w:b/>
          <w:sz w:val="24"/>
          <w:szCs w:val="24"/>
          <w:u w:val="single"/>
        </w:rPr>
      </w:pPr>
      <w:r w:rsidRPr="00FF2AA2">
        <w:rPr>
          <w:rFonts w:ascii="Book Antiqua" w:hAnsi="Book Antiqua"/>
          <w:b/>
          <w:sz w:val="24"/>
          <w:szCs w:val="24"/>
          <w:u w:val="single"/>
        </w:rPr>
        <w:t xml:space="preserve">About </w:t>
      </w:r>
      <w:r w:rsidR="00661200" w:rsidRPr="00FF2AA2">
        <w:rPr>
          <w:rFonts w:ascii="Book Antiqua" w:hAnsi="Book Antiqua"/>
          <w:b/>
          <w:sz w:val="24"/>
          <w:szCs w:val="24"/>
          <w:u w:val="single"/>
        </w:rPr>
        <w:t>Health Information Privacy and Security</w:t>
      </w:r>
    </w:p>
    <w:p w:rsidR="001B0519" w:rsidRPr="00FF2AA2" w:rsidRDefault="001B0519" w:rsidP="00E03D35">
      <w:pPr>
        <w:jc w:val="both"/>
        <w:rPr>
          <w:rFonts w:ascii="Book Antiqua" w:hAnsi="Book Antiqua"/>
          <w:sz w:val="24"/>
          <w:szCs w:val="24"/>
        </w:rPr>
      </w:pPr>
    </w:p>
    <w:p w:rsidR="00661200" w:rsidRPr="00FF2AA2" w:rsidRDefault="00661200" w:rsidP="00E03D35">
      <w:pPr>
        <w:pStyle w:val="BodyText2"/>
        <w:spacing w:after="0"/>
        <w:ind w:firstLine="0"/>
        <w:jc w:val="both"/>
        <w:rPr>
          <w:rFonts w:ascii="Book Antiqua" w:hAnsi="Book Antiqua"/>
          <w:b/>
        </w:rPr>
      </w:pPr>
      <w:r w:rsidRPr="00FF2AA2">
        <w:rPr>
          <w:rFonts w:ascii="Book Antiqua" w:hAnsi="Book Antiqua"/>
        </w:rPr>
        <w:t>The privacy and security of health information are addressed through a patchwork of various federal and state laws. These laws are currently evolving, as Congress issues new legislation and the Department</w:t>
      </w:r>
      <w:r w:rsidR="00E52047" w:rsidRPr="00FF2AA2">
        <w:rPr>
          <w:rFonts w:ascii="Book Antiqua" w:hAnsi="Book Antiqua"/>
        </w:rPr>
        <w:t xml:space="preserve"> of Health and Human Services (</w:t>
      </w:r>
      <w:r w:rsidRPr="00FF2AA2">
        <w:rPr>
          <w:rFonts w:ascii="Book Antiqua" w:hAnsi="Book Antiqua"/>
        </w:rPr>
        <w:t>HHS) promulgates regulations creating stricter protections and expanding the enforcement regime and related penalty structure. Further changes to the privacy and security regime are expected to take effect in February 2010, in the form of omnibus privacy regulations from HHS implementing changes to the Health Insurance Portability a</w:t>
      </w:r>
      <w:r w:rsidR="00E52047" w:rsidRPr="00FF2AA2">
        <w:rPr>
          <w:rFonts w:ascii="Book Antiqua" w:hAnsi="Book Antiqua"/>
        </w:rPr>
        <w:t>nd Accountability Act of 1996 (HIPAA</w:t>
      </w:r>
      <w:r w:rsidRPr="00FF2AA2">
        <w:rPr>
          <w:rFonts w:ascii="Book Antiqua" w:hAnsi="Book Antiqua"/>
        </w:rPr>
        <w:t>) regime made by the American Recovery</w:t>
      </w:r>
      <w:r w:rsidR="00E52047" w:rsidRPr="00FF2AA2">
        <w:rPr>
          <w:rFonts w:ascii="Book Antiqua" w:hAnsi="Book Antiqua"/>
        </w:rPr>
        <w:t xml:space="preserve"> and Reinvestment Act of 2009 (ARRA</w:t>
      </w:r>
      <w:r w:rsidR="009D1388">
        <w:rPr>
          <w:rFonts w:ascii="Book Antiqua" w:hAnsi="Book Antiqua"/>
        </w:rPr>
        <w:t>). Community health c</w:t>
      </w:r>
      <w:r w:rsidRPr="00FF2AA2">
        <w:rPr>
          <w:rFonts w:ascii="Book Antiqua" w:hAnsi="Book Antiqua"/>
        </w:rPr>
        <w:t>enters (</w:t>
      </w:r>
      <w:r w:rsidR="009D1388">
        <w:rPr>
          <w:rFonts w:ascii="Book Antiqua" w:hAnsi="Book Antiqua"/>
        </w:rPr>
        <w:t>c</w:t>
      </w:r>
      <w:r w:rsidRPr="00FF2AA2">
        <w:rPr>
          <w:rFonts w:ascii="Book Antiqua" w:hAnsi="Book Antiqua"/>
        </w:rPr>
        <w:t>e</w:t>
      </w:r>
      <w:r w:rsidR="009D1388">
        <w:rPr>
          <w:rFonts w:ascii="Book Antiqua" w:hAnsi="Book Antiqua"/>
        </w:rPr>
        <w:t>nters</w:t>
      </w:r>
      <w:r w:rsidRPr="00FF2AA2">
        <w:rPr>
          <w:rFonts w:ascii="Book Antiqua" w:hAnsi="Book Antiqua"/>
        </w:rPr>
        <w:t>) should continue to monitor shifting privacy and security requirements. Center</w:t>
      </w:r>
      <w:r w:rsidR="00C975A3">
        <w:rPr>
          <w:rFonts w:ascii="Book Antiqua" w:hAnsi="Book Antiqua"/>
        </w:rPr>
        <w:t>’s</w:t>
      </w:r>
      <w:r w:rsidRPr="00FF2AA2">
        <w:rPr>
          <w:rFonts w:ascii="Book Antiqua" w:hAnsi="Book Antiqua"/>
        </w:rPr>
        <w:t xml:space="preserve"> </w:t>
      </w:r>
      <w:r w:rsidR="009D1388">
        <w:rPr>
          <w:rFonts w:ascii="Book Antiqua" w:hAnsi="Book Antiqua"/>
        </w:rPr>
        <w:t>Board of Directors</w:t>
      </w:r>
      <w:r w:rsidRPr="00FF2AA2">
        <w:rPr>
          <w:rFonts w:ascii="Book Antiqua" w:hAnsi="Book Antiqua"/>
        </w:rPr>
        <w:t>, leadership, and staff all have re</w:t>
      </w:r>
      <w:r w:rsidR="009D1388">
        <w:rPr>
          <w:rFonts w:ascii="Book Antiqua" w:hAnsi="Book Antiqua"/>
        </w:rPr>
        <w:t>sponsibility for ensuring that c</w:t>
      </w:r>
      <w:r w:rsidRPr="00FF2AA2">
        <w:rPr>
          <w:rFonts w:ascii="Book Antiqua" w:hAnsi="Book Antiqua"/>
        </w:rPr>
        <w:t>enters comply with federal and state laws and regulations.</w:t>
      </w:r>
    </w:p>
    <w:p w:rsidR="00E03D35" w:rsidRPr="00FF2AA2" w:rsidRDefault="00E03D35" w:rsidP="00E03D35">
      <w:pPr>
        <w:pStyle w:val="BodyText2"/>
        <w:spacing w:after="0"/>
        <w:ind w:firstLine="0"/>
        <w:jc w:val="both"/>
        <w:rPr>
          <w:rFonts w:ascii="Book Antiqua" w:hAnsi="Book Antiqua"/>
        </w:rPr>
      </w:pPr>
    </w:p>
    <w:p w:rsidR="00661200" w:rsidRPr="00FF2AA2" w:rsidRDefault="00661200" w:rsidP="00E03D35">
      <w:pPr>
        <w:pStyle w:val="BodyText2"/>
        <w:spacing w:after="0"/>
        <w:ind w:firstLine="0"/>
        <w:jc w:val="both"/>
        <w:rPr>
          <w:rFonts w:ascii="Book Antiqua" w:hAnsi="Book Antiqua"/>
        </w:rPr>
      </w:pPr>
      <w:r w:rsidRPr="00FF2AA2">
        <w:rPr>
          <w:rFonts w:ascii="Book Antiqua" w:hAnsi="Book Antiqua"/>
        </w:rPr>
        <w:t xml:space="preserve">This section of the Manual provides a detailed summary of the key concepts and provisions in the HIPAA Privacy and Security Rules, and the HHS Data Breach Notification Rule. Additionally, this section of the Manual provides an outline of the privacy and security responsibilities of </w:t>
      </w:r>
      <w:r w:rsidR="009D1388">
        <w:rPr>
          <w:rFonts w:ascii="Book Antiqua" w:hAnsi="Book Antiqua"/>
        </w:rPr>
        <w:t>the c</w:t>
      </w:r>
      <w:r w:rsidRPr="00FF2AA2">
        <w:rPr>
          <w:rFonts w:ascii="Book Antiqua" w:hAnsi="Book Antiqua"/>
        </w:rPr>
        <w:t>enter</w:t>
      </w:r>
      <w:r w:rsidR="009D1388">
        <w:rPr>
          <w:rFonts w:ascii="Book Antiqua" w:hAnsi="Book Antiqua"/>
        </w:rPr>
        <w:t>’s</w:t>
      </w:r>
      <w:r w:rsidRPr="00FF2AA2">
        <w:rPr>
          <w:rFonts w:ascii="Book Antiqua" w:hAnsi="Book Antiqua"/>
        </w:rPr>
        <w:t xml:space="preserve"> </w:t>
      </w:r>
      <w:r w:rsidR="009D1388">
        <w:rPr>
          <w:rFonts w:ascii="Book Antiqua" w:hAnsi="Book Antiqua"/>
        </w:rPr>
        <w:t xml:space="preserve">Board </w:t>
      </w:r>
      <w:r w:rsidRPr="00FF2AA2">
        <w:rPr>
          <w:rFonts w:ascii="Book Antiqua" w:hAnsi="Book Antiqua"/>
        </w:rPr>
        <w:t xml:space="preserve">and leadership staff, as well as checklists to help ensure that </w:t>
      </w:r>
      <w:r w:rsidR="009D1388">
        <w:rPr>
          <w:rFonts w:ascii="Book Antiqua" w:hAnsi="Book Antiqua"/>
        </w:rPr>
        <w:t>c</w:t>
      </w:r>
      <w:r w:rsidRPr="00FF2AA2">
        <w:rPr>
          <w:rFonts w:ascii="Book Antiqua" w:hAnsi="Book Antiqua"/>
        </w:rPr>
        <w:t>enters are complying with applicable laws. Detailed privacy and security policies and procedures, as well as templates of relevant forms, are available in this Manual.</w:t>
      </w:r>
    </w:p>
    <w:p w:rsidR="00E03D35" w:rsidRPr="00FF2AA2" w:rsidRDefault="00E03D35" w:rsidP="00E03D35">
      <w:pPr>
        <w:pStyle w:val="BodyText2"/>
        <w:spacing w:after="0"/>
        <w:ind w:firstLine="0"/>
        <w:jc w:val="both"/>
        <w:rPr>
          <w:rFonts w:ascii="Book Antiqua" w:hAnsi="Book Antiqua"/>
        </w:rPr>
      </w:pPr>
    </w:p>
    <w:p w:rsidR="00661200" w:rsidRPr="00FF2AA2" w:rsidRDefault="00E52047" w:rsidP="00E03D35">
      <w:pPr>
        <w:numPr>
          <w:ilvl w:val="0"/>
          <w:numId w:val="3"/>
        </w:numPr>
        <w:jc w:val="both"/>
        <w:rPr>
          <w:rFonts w:ascii="Book Antiqua" w:hAnsi="Book Antiqua"/>
          <w:b/>
          <w:sz w:val="24"/>
          <w:szCs w:val="24"/>
          <w:u w:val="single"/>
        </w:rPr>
      </w:pPr>
      <w:r w:rsidRPr="00FF2AA2">
        <w:rPr>
          <w:rFonts w:ascii="Book Antiqua" w:hAnsi="Book Antiqua"/>
          <w:b/>
          <w:sz w:val="24"/>
          <w:szCs w:val="24"/>
          <w:u w:val="single"/>
        </w:rPr>
        <w:t xml:space="preserve">Health Information Privacy And Security Overview </w:t>
      </w:r>
    </w:p>
    <w:p w:rsidR="00E52047" w:rsidRPr="00FF2AA2" w:rsidRDefault="00E52047" w:rsidP="00E03D35">
      <w:pPr>
        <w:jc w:val="both"/>
        <w:rPr>
          <w:rFonts w:ascii="Book Antiqua" w:hAnsi="Book Antiqua"/>
          <w:sz w:val="24"/>
          <w:szCs w:val="24"/>
        </w:rPr>
      </w:pPr>
    </w:p>
    <w:p w:rsidR="00E52047" w:rsidRPr="00FF2AA2" w:rsidRDefault="00661200" w:rsidP="00E03D35">
      <w:pPr>
        <w:pStyle w:val="ListParagraph"/>
        <w:numPr>
          <w:ilvl w:val="0"/>
          <w:numId w:val="4"/>
        </w:numPr>
        <w:jc w:val="both"/>
        <w:rPr>
          <w:rFonts w:ascii="Book Antiqua" w:hAnsi="Book Antiqua"/>
          <w:sz w:val="24"/>
          <w:szCs w:val="24"/>
        </w:rPr>
      </w:pPr>
      <w:r w:rsidRPr="00FF2AA2">
        <w:rPr>
          <w:rFonts w:ascii="Book Antiqua" w:hAnsi="Book Antiqua"/>
          <w:b/>
          <w:sz w:val="24"/>
          <w:szCs w:val="24"/>
        </w:rPr>
        <w:t>HIPAA Administrative Simplification</w:t>
      </w:r>
    </w:p>
    <w:p w:rsidR="00E52047" w:rsidRPr="00FF2AA2" w:rsidRDefault="00E52047" w:rsidP="00E03D35">
      <w:pPr>
        <w:pStyle w:val="ListParagraph"/>
        <w:ind w:left="1080"/>
        <w:jc w:val="both"/>
        <w:rPr>
          <w:rFonts w:ascii="Book Antiqua" w:hAnsi="Book Antiqua"/>
          <w:sz w:val="24"/>
          <w:szCs w:val="24"/>
        </w:rPr>
      </w:pPr>
    </w:p>
    <w:p w:rsidR="00661200" w:rsidRPr="00FF2AA2" w:rsidRDefault="00661200" w:rsidP="00E03D35">
      <w:pPr>
        <w:pStyle w:val="ListParagraph"/>
        <w:ind w:left="1080"/>
        <w:jc w:val="both"/>
        <w:rPr>
          <w:rFonts w:ascii="Book Antiqua" w:hAnsi="Book Antiqua"/>
          <w:sz w:val="24"/>
          <w:szCs w:val="24"/>
        </w:rPr>
      </w:pPr>
      <w:r w:rsidRPr="00FF2AA2">
        <w:rPr>
          <w:rFonts w:ascii="Book Antiqua" w:hAnsi="Book Antiqua"/>
          <w:sz w:val="24"/>
          <w:szCs w:val="24"/>
        </w:rPr>
        <w:t>HIPAA was the first comprehensive federal law to addresses the privacy and security of</w:t>
      </w:r>
      <w:r w:rsidR="00E52047" w:rsidRPr="00FF2AA2">
        <w:rPr>
          <w:rFonts w:ascii="Book Antiqua" w:hAnsi="Book Antiqua"/>
          <w:sz w:val="24"/>
          <w:szCs w:val="24"/>
        </w:rPr>
        <w:t xml:space="preserve"> protected health information (PHI)</w:t>
      </w:r>
      <w:r w:rsidRPr="00FF2AA2">
        <w:rPr>
          <w:rFonts w:ascii="Book Antiqua" w:hAnsi="Book Antiqua"/>
          <w:sz w:val="24"/>
          <w:szCs w:val="24"/>
        </w:rPr>
        <w:t xml:space="preserve">, as well as the simplification and standardization of transactions and identifiers.  </w:t>
      </w:r>
    </w:p>
    <w:p w:rsidR="00E52047" w:rsidRPr="00FF2AA2" w:rsidRDefault="00661200" w:rsidP="00E03D35">
      <w:pPr>
        <w:pStyle w:val="ListParagraph"/>
        <w:numPr>
          <w:ilvl w:val="0"/>
          <w:numId w:val="5"/>
        </w:numPr>
        <w:jc w:val="both"/>
        <w:rPr>
          <w:rFonts w:ascii="Book Antiqua" w:hAnsi="Book Antiqua"/>
          <w:sz w:val="24"/>
          <w:szCs w:val="24"/>
        </w:rPr>
      </w:pPr>
      <w:r w:rsidRPr="00FF2AA2">
        <w:rPr>
          <w:rFonts w:ascii="Book Antiqua" w:hAnsi="Book Antiqua"/>
          <w:sz w:val="24"/>
          <w:szCs w:val="24"/>
        </w:rPr>
        <w:t>The HIPAA Privacy Rule protects the confidentiality of all forms of PHI created or received</w:t>
      </w:r>
      <w:r w:rsidR="00E52047" w:rsidRPr="00FF2AA2">
        <w:rPr>
          <w:rFonts w:ascii="Book Antiqua" w:hAnsi="Book Antiqua"/>
          <w:sz w:val="24"/>
          <w:szCs w:val="24"/>
        </w:rPr>
        <w:t xml:space="preserve"> by covered entities, including c</w:t>
      </w:r>
      <w:r w:rsidRPr="00FF2AA2">
        <w:rPr>
          <w:rFonts w:ascii="Book Antiqua" w:hAnsi="Book Antiqua"/>
          <w:sz w:val="24"/>
          <w:szCs w:val="24"/>
        </w:rPr>
        <w:t>enters, by limiting use and dis</w:t>
      </w:r>
      <w:r w:rsidR="00E52047" w:rsidRPr="00FF2AA2">
        <w:rPr>
          <w:rFonts w:ascii="Book Antiqua" w:hAnsi="Book Antiqua"/>
          <w:sz w:val="24"/>
          <w:szCs w:val="24"/>
        </w:rPr>
        <w:t xml:space="preserve">closure without authorization. </w:t>
      </w:r>
      <w:r w:rsidRPr="00FF2AA2">
        <w:rPr>
          <w:rFonts w:ascii="Book Antiqua" w:hAnsi="Book Antiqua"/>
          <w:sz w:val="24"/>
          <w:szCs w:val="24"/>
        </w:rPr>
        <w:t>Compliance with the Privacy Regulations was required by April 14, 2003.</w:t>
      </w:r>
    </w:p>
    <w:p w:rsidR="00E52047" w:rsidRPr="00FF2AA2" w:rsidRDefault="00661200" w:rsidP="00E03D35">
      <w:pPr>
        <w:pStyle w:val="ListParagraph"/>
        <w:numPr>
          <w:ilvl w:val="0"/>
          <w:numId w:val="5"/>
        </w:numPr>
        <w:jc w:val="both"/>
        <w:rPr>
          <w:rFonts w:ascii="Book Antiqua" w:hAnsi="Book Antiqua"/>
          <w:sz w:val="24"/>
          <w:szCs w:val="24"/>
        </w:rPr>
      </w:pPr>
      <w:r w:rsidRPr="00FF2AA2">
        <w:rPr>
          <w:rFonts w:ascii="Book Antiqua" w:hAnsi="Book Antiqua"/>
          <w:sz w:val="24"/>
          <w:szCs w:val="24"/>
        </w:rPr>
        <w:t>The HIPAA Security Rule specifies administrative, technical, and physical safeguards that are needed to protect the c</w:t>
      </w:r>
      <w:r w:rsidR="00E52047" w:rsidRPr="00FF2AA2">
        <w:rPr>
          <w:rFonts w:ascii="Book Antiqua" w:hAnsi="Book Antiqua"/>
          <w:sz w:val="24"/>
          <w:szCs w:val="24"/>
        </w:rPr>
        <w:t>onfidentiality electronic PHI (</w:t>
      </w:r>
      <w:proofErr w:type="spellStart"/>
      <w:r w:rsidR="00E52047" w:rsidRPr="00FF2AA2">
        <w:rPr>
          <w:rFonts w:ascii="Book Antiqua" w:hAnsi="Book Antiqua"/>
          <w:sz w:val="24"/>
          <w:szCs w:val="24"/>
        </w:rPr>
        <w:t>ePHI</w:t>
      </w:r>
      <w:proofErr w:type="spellEnd"/>
      <w:r w:rsidR="00E52047" w:rsidRPr="00FF2AA2">
        <w:rPr>
          <w:rFonts w:ascii="Book Antiqua" w:hAnsi="Book Antiqua"/>
          <w:sz w:val="24"/>
          <w:szCs w:val="24"/>
        </w:rPr>
        <w:t>) maintained by covered e</w:t>
      </w:r>
      <w:r w:rsidRPr="00FF2AA2">
        <w:rPr>
          <w:rFonts w:ascii="Book Antiqua" w:hAnsi="Book Antiqua"/>
          <w:sz w:val="24"/>
          <w:szCs w:val="24"/>
        </w:rPr>
        <w:t>ntities, i</w:t>
      </w:r>
      <w:r w:rsidR="00E52047" w:rsidRPr="00FF2AA2">
        <w:rPr>
          <w:rFonts w:ascii="Book Antiqua" w:hAnsi="Book Antiqua"/>
          <w:sz w:val="24"/>
          <w:szCs w:val="24"/>
        </w:rPr>
        <w:t>ncluding c</w:t>
      </w:r>
      <w:r w:rsidRPr="00FF2AA2">
        <w:rPr>
          <w:rFonts w:ascii="Book Antiqua" w:hAnsi="Book Antiqua"/>
          <w:sz w:val="24"/>
          <w:szCs w:val="24"/>
        </w:rPr>
        <w:t>enters. Compliance with the Security Regulations was required by April 20, 2005.</w:t>
      </w:r>
    </w:p>
    <w:p w:rsidR="00E52047" w:rsidRPr="00FF2AA2" w:rsidRDefault="00E52047" w:rsidP="00E03D35">
      <w:pPr>
        <w:pStyle w:val="ListParagraph"/>
        <w:numPr>
          <w:ilvl w:val="0"/>
          <w:numId w:val="5"/>
        </w:numPr>
        <w:jc w:val="both"/>
        <w:rPr>
          <w:rFonts w:ascii="Book Antiqua" w:hAnsi="Book Antiqua"/>
          <w:sz w:val="24"/>
          <w:szCs w:val="24"/>
        </w:rPr>
      </w:pPr>
      <w:r w:rsidRPr="00FF2AA2">
        <w:rPr>
          <w:rFonts w:ascii="Book Antiqua" w:hAnsi="Book Antiqua"/>
          <w:sz w:val="24"/>
          <w:szCs w:val="24"/>
        </w:rPr>
        <w:t>Covered e</w:t>
      </w:r>
      <w:r w:rsidR="00661200" w:rsidRPr="00FF2AA2">
        <w:rPr>
          <w:rFonts w:ascii="Book Antiqua" w:hAnsi="Book Antiqua"/>
          <w:sz w:val="24"/>
          <w:szCs w:val="24"/>
        </w:rPr>
        <w:t>ntities needed to be able to send and receive electronic claims and other information in standard format, under the Electronic Transaction and Code Set Standards, by October 16, 2003;</w:t>
      </w:r>
    </w:p>
    <w:p w:rsidR="00E52047" w:rsidRPr="00FF2AA2" w:rsidRDefault="00E52047" w:rsidP="00E03D35">
      <w:pPr>
        <w:pStyle w:val="ListParagraph"/>
        <w:numPr>
          <w:ilvl w:val="1"/>
          <w:numId w:val="5"/>
        </w:numPr>
        <w:jc w:val="both"/>
        <w:rPr>
          <w:rFonts w:ascii="Book Antiqua" w:hAnsi="Book Antiqua"/>
          <w:sz w:val="24"/>
          <w:szCs w:val="24"/>
        </w:rPr>
      </w:pPr>
      <w:r w:rsidRPr="00FF2AA2">
        <w:rPr>
          <w:rFonts w:ascii="Book Antiqua" w:hAnsi="Book Antiqua"/>
          <w:sz w:val="24"/>
          <w:szCs w:val="24"/>
        </w:rPr>
        <w:lastRenderedPageBreak/>
        <w:t>HIPAA required covered e</w:t>
      </w:r>
      <w:r w:rsidR="00661200" w:rsidRPr="00FF2AA2">
        <w:rPr>
          <w:rFonts w:ascii="Book Antiqua" w:hAnsi="Book Antiqua"/>
          <w:sz w:val="24"/>
          <w:szCs w:val="24"/>
        </w:rPr>
        <w:t>ntities and healthcare provider</w:t>
      </w:r>
      <w:r w:rsidRPr="00FF2AA2">
        <w:rPr>
          <w:rFonts w:ascii="Book Antiqua" w:hAnsi="Book Antiqua"/>
          <w:sz w:val="24"/>
          <w:szCs w:val="24"/>
        </w:rPr>
        <w:t>s who bill for services (e.g., c</w:t>
      </w:r>
      <w:r w:rsidR="00661200" w:rsidRPr="00FF2AA2">
        <w:rPr>
          <w:rFonts w:ascii="Book Antiqua" w:hAnsi="Book Antiqua"/>
          <w:sz w:val="24"/>
          <w:szCs w:val="24"/>
        </w:rPr>
        <w:t>ente</w:t>
      </w:r>
      <w:r w:rsidRPr="00FF2AA2">
        <w:rPr>
          <w:rFonts w:ascii="Book Antiqua" w:hAnsi="Book Antiqua"/>
          <w:sz w:val="24"/>
          <w:szCs w:val="24"/>
        </w:rPr>
        <w:t>rs and physicians) to obtain a National Provider Identifier (NPI</w:t>
      </w:r>
      <w:r w:rsidR="00661200" w:rsidRPr="00FF2AA2">
        <w:rPr>
          <w:rFonts w:ascii="Book Antiqua" w:hAnsi="Book Antiqua"/>
          <w:sz w:val="24"/>
          <w:szCs w:val="24"/>
        </w:rPr>
        <w:t>) by May 23, 2007.</w:t>
      </w:r>
    </w:p>
    <w:p w:rsidR="00E52047" w:rsidRDefault="00661200" w:rsidP="00E03D35">
      <w:pPr>
        <w:pStyle w:val="ListParagraph"/>
        <w:numPr>
          <w:ilvl w:val="1"/>
          <w:numId w:val="5"/>
        </w:numPr>
        <w:jc w:val="both"/>
        <w:rPr>
          <w:rFonts w:ascii="Book Antiqua" w:hAnsi="Book Antiqua"/>
          <w:sz w:val="24"/>
          <w:szCs w:val="24"/>
        </w:rPr>
      </w:pPr>
      <w:r w:rsidRPr="00FF2AA2">
        <w:rPr>
          <w:rFonts w:ascii="Book Antiqua" w:hAnsi="Book Antiqua"/>
          <w:sz w:val="24"/>
          <w:szCs w:val="24"/>
        </w:rPr>
        <w:t>The final regulations regarding HIPAA Administrative Simplification and Enforcement were issued on February 16, 2006.</w:t>
      </w:r>
    </w:p>
    <w:p w:rsidR="009D1388" w:rsidRPr="00FF2AA2" w:rsidRDefault="009D1388" w:rsidP="009D1388">
      <w:pPr>
        <w:pStyle w:val="ListParagraph"/>
        <w:ind w:left="2520"/>
        <w:jc w:val="both"/>
        <w:rPr>
          <w:rFonts w:ascii="Book Antiqua" w:hAnsi="Book Antiqua"/>
          <w:sz w:val="24"/>
          <w:szCs w:val="24"/>
        </w:rPr>
      </w:pPr>
    </w:p>
    <w:p w:rsidR="00E52047" w:rsidRPr="00FF2AA2" w:rsidRDefault="00661200" w:rsidP="00E03D35">
      <w:pPr>
        <w:pStyle w:val="ListParagraph"/>
        <w:numPr>
          <w:ilvl w:val="0"/>
          <w:numId w:val="4"/>
        </w:numPr>
        <w:jc w:val="both"/>
        <w:rPr>
          <w:rFonts w:ascii="Book Antiqua" w:hAnsi="Book Antiqua"/>
          <w:sz w:val="24"/>
          <w:szCs w:val="24"/>
        </w:rPr>
      </w:pPr>
      <w:r w:rsidRPr="00FF2AA2">
        <w:rPr>
          <w:rFonts w:ascii="Book Antiqua" w:hAnsi="Book Antiqua"/>
          <w:b/>
          <w:sz w:val="24"/>
          <w:szCs w:val="24"/>
        </w:rPr>
        <w:t xml:space="preserve">Expanded Privacy and Security Regime </w:t>
      </w:r>
      <w:proofErr w:type="gramStart"/>
      <w:r w:rsidRPr="00FF2AA2">
        <w:rPr>
          <w:rFonts w:ascii="Book Antiqua" w:hAnsi="Book Antiqua"/>
          <w:b/>
          <w:sz w:val="24"/>
          <w:szCs w:val="24"/>
        </w:rPr>
        <w:t>Through</w:t>
      </w:r>
      <w:proofErr w:type="gramEnd"/>
      <w:r w:rsidRPr="00FF2AA2">
        <w:rPr>
          <w:rFonts w:ascii="Book Antiqua" w:hAnsi="Book Antiqua"/>
          <w:b/>
          <w:sz w:val="24"/>
          <w:szCs w:val="24"/>
        </w:rPr>
        <w:t xml:space="preserve"> ARRA.</w:t>
      </w:r>
      <w:r w:rsidR="00E52047" w:rsidRPr="00FF2AA2">
        <w:rPr>
          <w:rFonts w:ascii="Book Antiqua" w:hAnsi="Book Antiqua"/>
          <w:sz w:val="24"/>
          <w:szCs w:val="24"/>
        </w:rPr>
        <w:t xml:space="preserve"> </w:t>
      </w:r>
      <w:r w:rsidRPr="00FF2AA2">
        <w:rPr>
          <w:rFonts w:ascii="Book Antiqua" w:hAnsi="Book Antiqua"/>
          <w:sz w:val="24"/>
          <w:szCs w:val="24"/>
        </w:rPr>
        <w:t>The Health Information Technology for Economic and Clinical Health (HITECH) Act, passed as part of ARRA, contains a number of amendments that expand the current HIPAA privacy and security protections and enforcement mechanisms.  HHS regulations implementing ARRA’s privacy and security provisions are expected to be finalized by February 2010.</w:t>
      </w:r>
    </w:p>
    <w:p w:rsidR="00E52047" w:rsidRPr="00FF2AA2" w:rsidRDefault="00661200" w:rsidP="00E03D35">
      <w:pPr>
        <w:pStyle w:val="ListParagraph"/>
        <w:numPr>
          <w:ilvl w:val="1"/>
          <w:numId w:val="4"/>
        </w:numPr>
        <w:jc w:val="both"/>
        <w:rPr>
          <w:rFonts w:ascii="Book Antiqua" w:hAnsi="Book Antiqua"/>
          <w:sz w:val="24"/>
          <w:szCs w:val="24"/>
        </w:rPr>
      </w:pPr>
      <w:r w:rsidRPr="00FF2AA2">
        <w:rPr>
          <w:rFonts w:ascii="Book Antiqua" w:hAnsi="Book Antiqua"/>
          <w:sz w:val="24"/>
          <w:szCs w:val="24"/>
        </w:rPr>
        <w:t>Data Breach Notification Regulations.</w:t>
      </w:r>
      <w:r w:rsidR="00C975A3">
        <w:rPr>
          <w:rFonts w:ascii="Book Antiqua" w:hAnsi="Book Antiqua"/>
          <w:sz w:val="24"/>
          <w:szCs w:val="24"/>
        </w:rPr>
        <w:t xml:space="preserve"> </w:t>
      </w:r>
      <w:r w:rsidRPr="00FF2AA2">
        <w:rPr>
          <w:rFonts w:ascii="Book Antiqua" w:hAnsi="Book Antiqua"/>
          <w:sz w:val="24"/>
          <w:szCs w:val="24"/>
        </w:rPr>
        <w:t xml:space="preserve">ARRA created new requirements for </w:t>
      </w:r>
      <w:r w:rsidR="00C975A3">
        <w:rPr>
          <w:rFonts w:ascii="Book Antiqua" w:hAnsi="Book Antiqua"/>
          <w:sz w:val="24"/>
          <w:szCs w:val="24"/>
        </w:rPr>
        <w:t>c</w:t>
      </w:r>
      <w:r w:rsidRPr="00FF2AA2">
        <w:rPr>
          <w:rFonts w:ascii="Book Antiqua" w:hAnsi="Book Antiqua"/>
          <w:sz w:val="24"/>
          <w:szCs w:val="24"/>
        </w:rPr>
        <w:t xml:space="preserve">overed </w:t>
      </w:r>
      <w:r w:rsidR="00C975A3">
        <w:rPr>
          <w:rFonts w:ascii="Book Antiqua" w:hAnsi="Book Antiqua"/>
          <w:sz w:val="24"/>
          <w:szCs w:val="24"/>
        </w:rPr>
        <w:t>entities and business a</w:t>
      </w:r>
      <w:r w:rsidRPr="00FF2AA2">
        <w:rPr>
          <w:rFonts w:ascii="Book Antiqua" w:hAnsi="Book Antiqua"/>
          <w:sz w:val="24"/>
          <w:szCs w:val="24"/>
        </w:rPr>
        <w:t xml:space="preserve">ssociates concerning the provision of notice to affected individuals if their unsecured PHI has been (or is reasonably believed to have been) accessed, acquired, or disclosed as a result of a breach. Depending on the circumstances, breach notification must be provided to individuals, HHS and/or the media. HHS established a harm threshold, which allows </w:t>
      </w:r>
      <w:r w:rsidR="009D1388">
        <w:rPr>
          <w:rFonts w:ascii="Book Antiqua" w:hAnsi="Book Antiqua"/>
          <w:sz w:val="24"/>
          <w:szCs w:val="24"/>
        </w:rPr>
        <w:t>c</w:t>
      </w:r>
      <w:r w:rsidRPr="00FF2AA2">
        <w:rPr>
          <w:rFonts w:ascii="Book Antiqua" w:hAnsi="Book Antiqua"/>
          <w:sz w:val="24"/>
          <w:szCs w:val="24"/>
        </w:rPr>
        <w:t>overed</w:t>
      </w:r>
      <w:r w:rsidRPr="00FF2AA2">
        <w:rPr>
          <w:rFonts w:ascii="Book Antiqua" w:eastAsia="MS Mincho" w:hAnsi="Book Antiqua"/>
          <w:sz w:val="24"/>
          <w:szCs w:val="24"/>
        </w:rPr>
        <w:t xml:space="preserve"> </w:t>
      </w:r>
      <w:r w:rsidR="009D1388">
        <w:rPr>
          <w:rFonts w:ascii="Book Antiqua" w:eastAsia="MS Mincho" w:hAnsi="Book Antiqua"/>
          <w:sz w:val="24"/>
          <w:szCs w:val="24"/>
        </w:rPr>
        <w:t>e</w:t>
      </w:r>
      <w:r w:rsidRPr="00FF2AA2">
        <w:rPr>
          <w:rFonts w:ascii="Book Antiqua" w:hAnsi="Book Antiqua"/>
          <w:sz w:val="24"/>
          <w:szCs w:val="24"/>
        </w:rPr>
        <w:t>ntities to forgo notification if they determine an incident poses little or no risk of financial, reputational or other harm to</w:t>
      </w:r>
      <w:r w:rsidRPr="00FF2AA2">
        <w:rPr>
          <w:rFonts w:ascii="Book Antiqua" w:eastAsia="MS Mincho" w:hAnsi="Book Antiqua"/>
          <w:sz w:val="24"/>
          <w:szCs w:val="24"/>
        </w:rPr>
        <w:t xml:space="preserve"> </w:t>
      </w:r>
      <w:r w:rsidRPr="00FF2AA2">
        <w:rPr>
          <w:rFonts w:ascii="Book Antiqua" w:hAnsi="Book Antiqua"/>
          <w:sz w:val="24"/>
          <w:szCs w:val="24"/>
        </w:rPr>
        <w:t>the individual.  Although the Data Breach Notification regulations were effective as of September 23, 2009, HHS will not impose sanctions for failure to provide required notification about breaches that occur</w:t>
      </w:r>
      <w:r w:rsidR="008C003D" w:rsidRPr="00FF2AA2">
        <w:rPr>
          <w:rFonts w:ascii="Book Antiqua" w:hAnsi="Book Antiqua"/>
          <w:sz w:val="24"/>
          <w:szCs w:val="24"/>
        </w:rPr>
        <w:t>red</w:t>
      </w:r>
      <w:r w:rsidRPr="00FF2AA2">
        <w:rPr>
          <w:rFonts w:ascii="Book Antiqua" w:hAnsi="Book Antiqua"/>
          <w:sz w:val="24"/>
          <w:szCs w:val="24"/>
        </w:rPr>
        <w:t xml:space="preserve"> before February 22, 2010.  </w:t>
      </w:r>
    </w:p>
    <w:p w:rsidR="00661200" w:rsidRPr="00FF2AA2" w:rsidRDefault="00661200" w:rsidP="00E03D35">
      <w:pPr>
        <w:pStyle w:val="ListParagraph"/>
        <w:numPr>
          <w:ilvl w:val="1"/>
          <w:numId w:val="4"/>
        </w:numPr>
        <w:jc w:val="both"/>
        <w:rPr>
          <w:rFonts w:ascii="Book Antiqua" w:hAnsi="Book Antiqua"/>
          <w:sz w:val="24"/>
          <w:szCs w:val="24"/>
        </w:rPr>
      </w:pPr>
      <w:r w:rsidRPr="00FF2AA2">
        <w:rPr>
          <w:rFonts w:ascii="Book Antiqua" w:hAnsi="Book Antiqua"/>
          <w:sz w:val="24"/>
          <w:szCs w:val="24"/>
        </w:rPr>
        <w:t>Texas Privacy and Security Laws. HIPAA preempts contrary or less restrictive state laws, but does not preempt state laws that provide greater privacy and security protections or rights.</w:t>
      </w:r>
      <w:r w:rsidR="00F02A93" w:rsidRPr="00FF2AA2">
        <w:rPr>
          <w:rStyle w:val="FootnoteReference"/>
          <w:rFonts w:ascii="Book Antiqua" w:hAnsi="Book Antiqua"/>
          <w:sz w:val="24"/>
          <w:szCs w:val="24"/>
        </w:rPr>
        <w:footnoteReference w:id="2"/>
      </w:r>
      <w:r w:rsidR="009D1388">
        <w:rPr>
          <w:rFonts w:ascii="Book Antiqua" w:hAnsi="Book Antiqua"/>
          <w:sz w:val="24"/>
          <w:szCs w:val="24"/>
        </w:rPr>
        <w:t xml:space="preserve"> </w:t>
      </w:r>
      <w:r w:rsidRPr="00FF2AA2">
        <w:rPr>
          <w:rFonts w:ascii="Book Antiqua" w:hAnsi="Book Antiqua"/>
          <w:sz w:val="24"/>
          <w:szCs w:val="24"/>
        </w:rPr>
        <w:t>Centers need to comply with whichever provisions of either state or federal law provide patient</w:t>
      </w:r>
      <w:r w:rsidR="009D1388">
        <w:rPr>
          <w:rFonts w:ascii="Book Antiqua" w:hAnsi="Book Antiqua"/>
          <w:sz w:val="24"/>
          <w:szCs w:val="24"/>
        </w:rPr>
        <w:t xml:space="preserve">s with the greater protection. </w:t>
      </w:r>
      <w:r w:rsidRPr="00FF2AA2">
        <w:rPr>
          <w:rFonts w:ascii="Book Antiqua" w:hAnsi="Book Antiqua"/>
          <w:sz w:val="24"/>
          <w:szCs w:val="24"/>
        </w:rPr>
        <w:t>Centers located in Texas must com</w:t>
      </w:r>
      <w:r w:rsidR="00C975A3">
        <w:rPr>
          <w:rFonts w:ascii="Book Antiqua" w:hAnsi="Book Antiqua"/>
          <w:sz w:val="24"/>
          <w:szCs w:val="24"/>
        </w:rPr>
        <w:t xml:space="preserve">ply with the provisions of the </w:t>
      </w:r>
      <w:r w:rsidRPr="00FF2AA2">
        <w:rPr>
          <w:rFonts w:ascii="Book Antiqua" w:hAnsi="Book Antiqua"/>
          <w:sz w:val="24"/>
          <w:szCs w:val="24"/>
        </w:rPr>
        <w:t>Texas</w:t>
      </w:r>
      <w:r w:rsidR="00C975A3">
        <w:rPr>
          <w:rFonts w:ascii="Book Antiqua" w:hAnsi="Book Antiqua"/>
          <w:sz w:val="24"/>
          <w:szCs w:val="24"/>
        </w:rPr>
        <w:t xml:space="preserve"> Medical Records Privacy Act</w:t>
      </w:r>
      <w:r w:rsidR="00E03D35" w:rsidRPr="00FF2AA2">
        <w:rPr>
          <w:rFonts w:ascii="Book Antiqua" w:hAnsi="Book Antiqua"/>
          <w:sz w:val="24"/>
          <w:szCs w:val="24"/>
        </w:rPr>
        <w:t xml:space="preserve"> (</w:t>
      </w:r>
      <w:r w:rsidRPr="00FF2AA2">
        <w:rPr>
          <w:rFonts w:ascii="Book Antiqua" w:hAnsi="Book Antiqua"/>
          <w:sz w:val="24"/>
          <w:szCs w:val="24"/>
        </w:rPr>
        <w:t>TMRPA)</w:t>
      </w:r>
      <w:r w:rsidRPr="00FF2AA2">
        <w:rPr>
          <w:rStyle w:val="FootnoteReference"/>
          <w:rFonts w:ascii="Book Antiqua" w:hAnsi="Book Antiqua"/>
          <w:sz w:val="24"/>
          <w:szCs w:val="24"/>
        </w:rPr>
        <w:footnoteReference w:id="3"/>
      </w:r>
      <w:r w:rsidRPr="00FF2AA2">
        <w:rPr>
          <w:rFonts w:ascii="Book Antiqua" w:hAnsi="Book Antiqua"/>
          <w:sz w:val="24"/>
          <w:szCs w:val="24"/>
        </w:rPr>
        <w:t xml:space="preserve"> to the extent that TMRPA is more restrictive or more protective of patients’ privacy than HIPA</w:t>
      </w:r>
      <w:r w:rsidR="009D1388">
        <w:rPr>
          <w:rFonts w:ascii="Book Antiqua" w:hAnsi="Book Antiqua"/>
          <w:sz w:val="24"/>
          <w:szCs w:val="24"/>
        </w:rPr>
        <w:t>A. For example, TMRPA defines covered e</w:t>
      </w:r>
      <w:r w:rsidRPr="00FF2AA2">
        <w:rPr>
          <w:rFonts w:ascii="Book Antiqua" w:hAnsi="Book Antiqua"/>
          <w:sz w:val="24"/>
          <w:szCs w:val="24"/>
        </w:rPr>
        <w:t>ntity broader than HIPAA, and prohibits re-identification of PHI without prior written authorization, unlike HIPAA.</w:t>
      </w:r>
      <w:r w:rsidRPr="00FF2AA2">
        <w:rPr>
          <w:rStyle w:val="FootnoteReference"/>
          <w:rFonts w:ascii="Book Antiqua" w:hAnsi="Book Antiqua"/>
          <w:sz w:val="24"/>
          <w:szCs w:val="24"/>
        </w:rPr>
        <w:footnoteReference w:id="4"/>
      </w:r>
      <w:r w:rsidRPr="00FF2AA2">
        <w:rPr>
          <w:rFonts w:ascii="Book Antiqua" w:hAnsi="Book Antiqua"/>
          <w:sz w:val="24"/>
          <w:szCs w:val="24"/>
        </w:rPr>
        <w:t xml:space="preserve">  </w:t>
      </w:r>
    </w:p>
    <w:p w:rsidR="00661200" w:rsidRPr="00FF2AA2" w:rsidRDefault="00661200" w:rsidP="00E03D35">
      <w:pPr>
        <w:jc w:val="both"/>
        <w:rPr>
          <w:rFonts w:ascii="Book Antiqua" w:hAnsi="Book Antiqua"/>
          <w:sz w:val="24"/>
          <w:szCs w:val="24"/>
        </w:rPr>
      </w:pPr>
    </w:p>
    <w:p w:rsidR="00661200" w:rsidRPr="00FF2AA2" w:rsidRDefault="00E52047" w:rsidP="00E03D35">
      <w:pPr>
        <w:pStyle w:val="ListParagraph"/>
        <w:numPr>
          <w:ilvl w:val="0"/>
          <w:numId w:val="3"/>
        </w:numPr>
        <w:jc w:val="both"/>
        <w:rPr>
          <w:rFonts w:ascii="Book Antiqua" w:hAnsi="Book Antiqua"/>
          <w:b/>
          <w:sz w:val="24"/>
          <w:szCs w:val="24"/>
          <w:u w:val="single"/>
        </w:rPr>
      </w:pPr>
      <w:r w:rsidRPr="00FF2AA2">
        <w:rPr>
          <w:rFonts w:ascii="Book Antiqua" w:hAnsi="Book Antiqua"/>
          <w:b/>
          <w:sz w:val="24"/>
          <w:szCs w:val="24"/>
          <w:u w:val="single"/>
        </w:rPr>
        <w:t>Key HIPAA Privacy Terms And Provisions</w:t>
      </w:r>
    </w:p>
    <w:p w:rsidR="00661200" w:rsidRPr="00FF2AA2" w:rsidRDefault="00661200" w:rsidP="00E03D35">
      <w:pPr>
        <w:ind w:left="720"/>
        <w:jc w:val="both"/>
        <w:rPr>
          <w:rFonts w:ascii="Book Antiqua" w:hAnsi="Book Antiqua"/>
          <w:sz w:val="24"/>
          <w:szCs w:val="24"/>
        </w:rPr>
      </w:pPr>
    </w:p>
    <w:p w:rsidR="00ED5C75" w:rsidRDefault="00661200" w:rsidP="00E03D35">
      <w:pPr>
        <w:pStyle w:val="BodyText"/>
        <w:numPr>
          <w:ilvl w:val="0"/>
          <w:numId w:val="6"/>
        </w:numPr>
        <w:spacing w:after="0"/>
        <w:jc w:val="both"/>
        <w:rPr>
          <w:rFonts w:ascii="Book Antiqua" w:hAnsi="Book Antiqua"/>
          <w:szCs w:val="24"/>
        </w:rPr>
      </w:pPr>
      <w:r w:rsidRPr="00FF2AA2">
        <w:rPr>
          <w:rFonts w:ascii="Book Antiqua" w:hAnsi="Book Antiqua"/>
          <w:b/>
          <w:szCs w:val="24"/>
        </w:rPr>
        <w:lastRenderedPageBreak/>
        <w:t>Covered Entities.</w:t>
      </w:r>
      <w:r w:rsidR="00ED5C75" w:rsidRPr="00FF2AA2">
        <w:rPr>
          <w:rFonts w:ascii="Book Antiqua" w:hAnsi="Book Antiqua"/>
          <w:szCs w:val="24"/>
        </w:rPr>
        <w:t xml:space="preserve"> </w:t>
      </w:r>
      <w:r w:rsidRPr="00FF2AA2">
        <w:rPr>
          <w:rFonts w:ascii="Book Antiqua" w:hAnsi="Book Antiqua"/>
          <w:szCs w:val="24"/>
        </w:rPr>
        <w:t xml:space="preserve">HIPAA applies to </w:t>
      </w:r>
      <w:r w:rsidR="00C2434D">
        <w:rPr>
          <w:rFonts w:ascii="Book Antiqua" w:hAnsi="Book Antiqua"/>
          <w:szCs w:val="24"/>
        </w:rPr>
        <w:t>covered e</w:t>
      </w:r>
      <w:r w:rsidRPr="00FF2AA2">
        <w:rPr>
          <w:rFonts w:ascii="Book Antiqua" w:hAnsi="Book Antiqua"/>
          <w:szCs w:val="24"/>
        </w:rPr>
        <w:t>ntities such as health plans and health care clearinghouses, as well as to health care providers that engage in standard electronic transactions, generally includ</w:t>
      </w:r>
      <w:r w:rsidR="00C2434D">
        <w:rPr>
          <w:rFonts w:ascii="Book Antiqua" w:hAnsi="Book Antiqua"/>
          <w:szCs w:val="24"/>
        </w:rPr>
        <w:t>ing hospitals, pharmacies, and c</w:t>
      </w:r>
      <w:r w:rsidR="00C975A3">
        <w:rPr>
          <w:rFonts w:ascii="Book Antiqua" w:hAnsi="Book Antiqua"/>
          <w:szCs w:val="24"/>
        </w:rPr>
        <w:t>enters, among others.</w:t>
      </w:r>
      <w:r w:rsidRPr="00FF2AA2">
        <w:rPr>
          <w:rFonts w:ascii="Book Antiqua" w:hAnsi="Book Antiqua"/>
          <w:szCs w:val="24"/>
        </w:rPr>
        <w:t xml:space="preserve"> One important requirement is that the HIPAA </w:t>
      </w:r>
      <w:r w:rsidR="00C975A3">
        <w:rPr>
          <w:rFonts w:ascii="Book Antiqua" w:hAnsi="Book Antiqua"/>
          <w:szCs w:val="24"/>
        </w:rPr>
        <w:t>p</w:t>
      </w:r>
      <w:r w:rsidRPr="00FF2AA2">
        <w:rPr>
          <w:rFonts w:ascii="Book Antiqua" w:hAnsi="Book Antiqua"/>
          <w:szCs w:val="24"/>
        </w:rPr>
        <w:t xml:space="preserve">rivacy </w:t>
      </w:r>
      <w:r w:rsidR="00C975A3">
        <w:rPr>
          <w:rFonts w:ascii="Book Antiqua" w:hAnsi="Book Antiqua"/>
          <w:szCs w:val="24"/>
        </w:rPr>
        <w:t>r</w:t>
      </w:r>
      <w:r w:rsidRPr="00FF2AA2">
        <w:rPr>
          <w:rFonts w:ascii="Book Antiqua" w:hAnsi="Book Antiqua"/>
          <w:szCs w:val="24"/>
        </w:rPr>
        <w:t xml:space="preserve">ule mandates that all </w:t>
      </w:r>
      <w:r w:rsidR="00C2434D">
        <w:rPr>
          <w:rFonts w:ascii="Book Antiqua" w:hAnsi="Book Antiqua"/>
          <w:szCs w:val="24"/>
        </w:rPr>
        <w:t>covered e</w:t>
      </w:r>
      <w:r w:rsidRPr="00FF2AA2">
        <w:rPr>
          <w:rFonts w:ascii="Book Antiqua" w:hAnsi="Book Antiqua"/>
          <w:szCs w:val="24"/>
        </w:rPr>
        <w:t>ntities, including cove</w:t>
      </w:r>
      <w:r w:rsidR="00C2434D">
        <w:rPr>
          <w:rFonts w:ascii="Book Antiqua" w:hAnsi="Book Antiqua"/>
          <w:szCs w:val="24"/>
        </w:rPr>
        <w:t>red centers, establish written p</w:t>
      </w:r>
      <w:r w:rsidRPr="00FF2AA2">
        <w:rPr>
          <w:rFonts w:ascii="Book Antiqua" w:hAnsi="Book Antiqua"/>
          <w:szCs w:val="24"/>
        </w:rPr>
        <w:t xml:space="preserve">olicies and </w:t>
      </w:r>
      <w:r w:rsidR="00C2434D">
        <w:rPr>
          <w:rFonts w:ascii="Book Antiqua" w:hAnsi="Book Antiqua"/>
          <w:szCs w:val="24"/>
        </w:rPr>
        <w:t>procedures to protect PHI. All c</w:t>
      </w:r>
      <w:r w:rsidRPr="00FF2AA2">
        <w:rPr>
          <w:rFonts w:ascii="Book Antiqua" w:hAnsi="Book Antiqua"/>
          <w:szCs w:val="24"/>
        </w:rPr>
        <w:t>enter workforce members (i.e., employees, volunteers, trainees and others whose wo</w:t>
      </w:r>
      <w:r w:rsidR="00C2434D">
        <w:rPr>
          <w:rFonts w:ascii="Book Antiqua" w:hAnsi="Book Antiqua"/>
          <w:szCs w:val="24"/>
        </w:rPr>
        <w:t>rk is under the control of the c</w:t>
      </w:r>
      <w:r w:rsidRPr="00FF2AA2">
        <w:rPr>
          <w:rFonts w:ascii="Book Antiqua" w:hAnsi="Book Antiqua"/>
          <w:szCs w:val="24"/>
        </w:rPr>
        <w:t>enter)</w:t>
      </w:r>
      <w:r w:rsidRPr="00FF2AA2">
        <w:rPr>
          <w:rStyle w:val="FootnoteReference"/>
          <w:rFonts w:ascii="Book Antiqua" w:hAnsi="Book Antiqua"/>
          <w:szCs w:val="24"/>
        </w:rPr>
        <w:footnoteReference w:id="5"/>
      </w:r>
      <w:r w:rsidRPr="00FF2AA2">
        <w:rPr>
          <w:rFonts w:ascii="Book Antiqua" w:hAnsi="Book Antiqua"/>
          <w:szCs w:val="24"/>
        </w:rPr>
        <w:t xml:space="preserve"> must b be trained in and comply with HIPAA.</w:t>
      </w:r>
    </w:p>
    <w:p w:rsidR="00C2434D" w:rsidRPr="00FF2AA2" w:rsidRDefault="00C2434D" w:rsidP="00C2434D">
      <w:pPr>
        <w:pStyle w:val="BodyText"/>
        <w:spacing w:after="0"/>
        <w:ind w:left="1080"/>
        <w:jc w:val="both"/>
        <w:rPr>
          <w:rFonts w:ascii="Book Antiqua" w:hAnsi="Book Antiqua"/>
          <w:szCs w:val="24"/>
        </w:rPr>
      </w:pPr>
    </w:p>
    <w:p w:rsidR="00ED5C75" w:rsidRPr="00FF2AA2" w:rsidRDefault="00661200" w:rsidP="00E03D35">
      <w:pPr>
        <w:pStyle w:val="BodyText"/>
        <w:numPr>
          <w:ilvl w:val="0"/>
          <w:numId w:val="6"/>
        </w:numPr>
        <w:spacing w:after="0"/>
        <w:jc w:val="both"/>
        <w:rPr>
          <w:rFonts w:ascii="Book Antiqua" w:hAnsi="Book Antiqua"/>
          <w:szCs w:val="24"/>
        </w:rPr>
      </w:pPr>
      <w:r w:rsidRPr="00FF2AA2">
        <w:rPr>
          <w:rFonts w:ascii="Book Antiqua" w:hAnsi="Book Antiqua"/>
          <w:b/>
          <w:szCs w:val="24"/>
        </w:rPr>
        <w:t>Protected Health Information.</w:t>
      </w:r>
      <w:r w:rsidRPr="00FF2AA2">
        <w:rPr>
          <w:rFonts w:ascii="Book Antiqua" w:hAnsi="Book Antiqua"/>
          <w:szCs w:val="24"/>
        </w:rPr>
        <w:t xml:space="preserve"> HIPAA restricts the use and disclosure of patients’ PHI, which includes: </w:t>
      </w:r>
    </w:p>
    <w:p w:rsidR="00ED5C75" w:rsidRPr="00FF2AA2" w:rsidRDefault="00661200" w:rsidP="00E03D35">
      <w:pPr>
        <w:pStyle w:val="BodyText"/>
        <w:numPr>
          <w:ilvl w:val="1"/>
          <w:numId w:val="6"/>
        </w:numPr>
        <w:spacing w:after="0"/>
        <w:jc w:val="both"/>
        <w:rPr>
          <w:rFonts w:ascii="Book Antiqua" w:hAnsi="Book Antiqua"/>
          <w:szCs w:val="24"/>
        </w:rPr>
      </w:pPr>
      <w:r w:rsidRPr="00FF2AA2">
        <w:rPr>
          <w:rFonts w:ascii="Book Antiqua" w:hAnsi="Book Antiqua"/>
          <w:szCs w:val="24"/>
        </w:rPr>
        <w:t>Information that relates to the past, present, or future physical or mental health or condition of an individual, the provision of health care to an individual, or the past, present, or future payment for the provision of health care to an individual</w:t>
      </w:r>
      <w:r w:rsidR="00ED5C75" w:rsidRPr="00FF2AA2">
        <w:rPr>
          <w:rFonts w:ascii="Book Antiqua" w:hAnsi="Book Antiqua"/>
          <w:szCs w:val="24"/>
        </w:rPr>
        <w:t>.</w:t>
      </w:r>
    </w:p>
    <w:p w:rsidR="00661200" w:rsidRDefault="00661200" w:rsidP="00E03D35">
      <w:pPr>
        <w:pStyle w:val="BodyText"/>
        <w:numPr>
          <w:ilvl w:val="1"/>
          <w:numId w:val="6"/>
        </w:numPr>
        <w:spacing w:after="0"/>
        <w:jc w:val="both"/>
        <w:rPr>
          <w:rFonts w:ascii="Book Antiqua" w:hAnsi="Book Antiqua"/>
          <w:szCs w:val="24"/>
        </w:rPr>
      </w:pPr>
      <w:r w:rsidRPr="00FF2AA2">
        <w:rPr>
          <w:rFonts w:ascii="Book Antiqua" w:hAnsi="Book Antiqua"/>
          <w:szCs w:val="24"/>
        </w:rPr>
        <w:t>Identifies the individual, or for which there is a reasonable basis for believing that the information can be used to identify the individual.</w:t>
      </w:r>
    </w:p>
    <w:p w:rsidR="00C2434D" w:rsidRPr="00FF2AA2" w:rsidRDefault="00C2434D" w:rsidP="00C2434D">
      <w:pPr>
        <w:pStyle w:val="BodyText"/>
        <w:spacing w:after="0"/>
        <w:ind w:left="1800"/>
        <w:jc w:val="both"/>
        <w:rPr>
          <w:rFonts w:ascii="Book Antiqua" w:hAnsi="Book Antiqua"/>
          <w:szCs w:val="24"/>
        </w:rPr>
      </w:pPr>
    </w:p>
    <w:p w:rsidR="00ED5C75" w:rsidRPr="00FF2AA2" w:rsidRDefault="00661200" w:rsidP="00E03D35">
      <w:pPr>
        <w:pStyle w:val="BodyText"/>
        <w:numPr>
          <w:ilvl w:val="0"/>
          <w:numId w:val="6"/>
        </w:numPr>
        <w:spacing w:after="0"/>
        <w:jc w:val="both"/>
        <w:rPr>
          <w:rFonts w:ascii="Book Antiqua" w:hAnsi="Book Antiqua"/>
          <w:szCs w:val="24"/>
        </w:rPr>
      </w:pPr>
      <w:r w:rsidRPr="00FF2AA2">
        <w:rPr>
          <w:rFonts w:ascii="Book Antiqua" w:hAnsi="Book Antiqua"/>
          <w:b/>
          <w:szCs w:val="24"/>
        </w:rPr>
        <w:t>Sensitive PHI</w:t>
      </w:r>
      <w:r w:rsidR="00ED5C75" w:rsidRPr="00FF2AA2">
        <w:rPr>
          <w:rFonts w:ascii="Book Antiqua" w:hAnsi="Book Antiqua"/>
          <w:b/>
          <w:szCs w:val="24"/>
        </w:rPr>
        <w:t xml:space="preserve">. </w:t>
      </w:r>
      <w:r w:rsidRPr="00FF2AA2">
        <w:rPr>
          <w:rFonts w:ascii="Book Antiqua" w:hAnsi="Book Antiqua"/>
          <w:szCs w:val="24"/>
        </w:rPr>
        <w:t>Federal and state law provide</w:t>
      </w:r>
      <w:r w:rsidR="00ED5C75" w:rsidRPr="00FF2AA2">
        <w:rPr>
          <w:rFonts w:ascii="Book Antiqua" w:hAnsi="Book Antiqua"/>
          <w:szCs w:val="24"/>
        </w:rPr>
        <w:t>s</w:t>
      </w:r>
      <w:r w:rsidRPr="00FF2AA2">
        <w:rPr>
          <w:rFonts w:ascii="Book Antiqua" w:hAnsi="Book Antiqua"/>
          <w:szCs w:val="24"/>
        </w:rPr>
        <w:t xml:space="preserve"> special protections for certain kinds of particularly sensitive PHI.</w:t>
      </w:r>
    </w:p>
    <w:p w:rsidR="00ED5C75" w:rsidRPr="00FF2AA2" w:rsidRDefault="00661200" w:rsidP="00E03D35">
      <w:pPr>
        <w:pStyle w:val="BodyText"/>
        <w:numPr>
          <w:ilvl w:val="1"/>
          <w:numId w:val="6"/>
        </w:numPr>
        <w:spacing w:after="0"/>
        <w:jc w:val="both"/>
        <w:rPr>
          <w:rFonts w:ascii="Book Antiqua" w:hAnsi="Book Antiqua"/>
          <w:szCs w:val="24"/>
        </w:rPr>
      </w:pPr>
      <w:r w:rsidRPr="00FF2AA2">
        <w:rPr>
          <w:rFonts w:ascii="Book Antiqua" w:hAnsi="Book Antiqua"/>
          <w:szCs w:val="24"/>
        </w:rPr>
        <w:t>The HIPAA Privacy Rule and Texas law provide special protections for psychotherapy notes and patient mental health records.</w:t>
      </w:r>
      <w:r w:rsidRPr="00FF2AA2">
        <w:rPr>
          <w:rStyle w:val="FootnoteReference"/>
          <w:rFonts w:ascii="Book Antiqua" w:hAnsi="Book Antiqua"/>
          <w:szCs w:val="24"/>
        </w:rPr>
        <w:footnoteReference w:id="6"/>
      </w:r>
      <w:r w:rsidR="00C2434D">
        <w:rPr>
          <w:rFonts w:ascii="Book Antiqua" w:hAnsi="Book Antiqua"/>
          <w:szCs w:val="24"/>
        </w:rPr>
        <w:t xml:space="preserve"> As a general rule, c</w:t>
      </w:r>
      <w:r w:rsidRPr="00FF2AA2">
        <w:rPr>
          <w:rFonts w:ascii="Book Antiqua" w:hAnsi="Book Antiqua"/>
          <w:szCs w:val="24"/>
        </w:rPr>
        <w:t xml:space="preserve">enters must obtain a separate authorization (i.e., on a separate form) to release patients’ psychotherapy notes, above and beyond a more general authorization to release PHI.  </w:t>
      </w:r>
    </w:p>
    <w:p w:rsidR="00ED5C75" w:rsidRPr="00FF2AA2" w:rsidRDefault="00C2434D" w:rsidP="00E03D35">
      <w:pPr>
        <w:pStyle w:val="BodyText"/>
        <w:numPr>
          <w:ilvl w:val="1"/>
          <w:numId w:val="6"/>
        </w:numPr>
        <w:spacing w:after="0"/>
        <w:jc w:val="both"/>
        <w:rPr>
          <w:rFonts w:ascii="Book Antiqua" w:hAnsi="Book Antiqua"/>
          <w:szCs w:val="24"/>
        </w:rPr>
      </w:pPr>
      <w:r>
        <w:rPr>
          <w:rFonts w:ascii="Book Antiqua" w:hAnsi="Book Antiqua"/>
          <w:szCs w:val="24"/>
        </w:rPr>
        <w:t>To the extent c</w:t>
      </w:r>
      <w:r w:rsidR="00661200" w:rsidRPr="00FF2AA2">
        <w:rPr>
          <w:rFonts w:ascii="Book Antiqua" w:hAnsi="Book Antiqua"/>
          <w:szCs w:val="24"/>
        </w:rPr>
        <w:t>enters evaluate or treat patients with chemical dependency, alcohol or drug abuse problems, they will need to comply with federal laws and regulations regarding the release of patients’ chemical dependency, alcohol or drug abuse records.</w:t>
      </w:r>
      <w:r w:rsidR="00661200" w:rsidRPr="00FF2AA2">
        <w:rPr>
          <w:rStyle w:val="FootnoteReference"/>
          <w:rFonts w:ascii="Book Antiqua" w:hAnsi="Book Antiqua"/>
          <w:szCs w:val="24"/>
        </w:rPr>
        <w:footnoteReference w:id="7"/>
      </w:r>
      <w:r>
        <w:rPr>
          <w:rFonts w:ascii="Book Antiqua" w:hAnsi="Book Antiqua"/>
          <w:szCs w:val="24"/>
        </w:rPr>
        <w:t xml:space="preserve"> As a general rule, c</w:t>
      </w:r>
      <w:r w:rsidR="00661200" w:rsidRPr="00FF2AA2">
        <w:rPr>
          <w:rFonts w:ascii="Book Antiqua" w:hAnsi="Book Antiqua"/>
          <w:szCs w:val="24"/>
        </w:rPr>
        <w:t>enters must obtain a separate authorization to release patients’ chemical dependency, alcohol or drug abuse records, above and beyond a specific authorization to release PHI.</w:t>
      </w:r>
    </w:p>
    <w:p w:rsidR="00ED5C75" w:rsidRPr="00FF2AA2" w:rsidRDefault="00661200" w:rsidP="00E03D35">
      <w:pPr>
        <w:pStyle w:val="BodyText"/>
        <w:numPr>
          <w:ilvl w:val="1"/>
          <w:numId w:val="6"/>
        </w:numPr>
        <w:spacing w:after="0"/>
        <w:jc w:val="both"/>
        <w:rPr>
          <w:rFonts w:ascii="Book Antiqua" w:hAnsi="Book Antiqua"/>
          <w:szCs w:val="24"/>
        </w:rPr>
      </w:pPr>
      <w:r w:rsidRPr="00FF2AA2">
        <w:rPr>
          <w:rFonts w:ascii="Book Antiqua" w:hAnsi="Book Antiqua"/>
          <w:szCs w:val="24"/>
        </w:rPr>
        <w:t>Texas state law permits disclosure of patients’ HIV/AIDS information without authorization in the following limited circumstances:</w:t>
      </w:r>
    </w:p>
    <w:p w:rsidR="00ED5C75"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To the Texas Depart</w:t>
      </w:r>
      <w:r w:rsidR="00E03D35" w:rsidRPr="00FF2AA2">
        <w:rPr>
          <w:rFonts w:ascii="Book Antiqua" w:hAnsi="Book Antiqua"/>
          <w:szCs w:val="24"/>
        </w:rPr>
        <w:t>ment of State Health Services (</w:t>
      </w:r>
      <w:r w:rsidRPr="00FF2AA2">
        <w:rPr>
          <w:rFonts w:ascii="Book Antiqua" w:hAnsi="Book Antiqua"/>
          <w:szCs w:val="24"/>
        </w:rPr>
        <w:t>DSHS)</w:t>
      </w:r>
      <w:r w:rsidR="00ED5C75" w:rsidRPr="00FF2AA2">
        <w:rPr>
          <w:rFonts w:ascii="Book Antiqua" w:hAnsi="Book Antiqua"/>
          <w:szCs w:val="24"/>
        </w:rPr>
        <w:t>.</w:t>
      </w:r>
    </w:p>
    <w:p w:rsidR="00ED5C75"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To the federa</w:t>
      </w:r>
      <w:r w:rsidR="00C2434D">
        <w:rPr>
          <w:rFonts w:ascii="Book Antiqua" w:hAnsi="Book Antiqua"/>
          <w:szCs w:val="24"/>
        </w:rPr>
        <w:t>l Centers for Disease Control (CDC</w:t>
      </w:r>
      <w:r w:rsidRPr="00FF2AA2">
        <w:rPr>
          <w:rFonts w:ascii="Book Antiqua" w:hAnsi="Book Antiqua"/>
          <w:szCs w:val="24"/>
        </w:rPr>
        <w:t>), state or local health authorities if such reporting is required by feder</w:t>
      </w:r>
      <w:r w:rsidR="00C975A3">
        <w:rPr>
          <w:rFonts w:ascii="Book Antiqua" w:hAnsi="Book Antiqua"/>
          <w:szCs w:val="24"/>
        </w:rPr>
        <w:t>al or state laws or regulations.</w:t>
      </w:r>
    </w:p>
    <w:p w:rsidR="00661200" w:rsidRPr="00FF2AA2" w:rsidRDefault="00661200" w:rsidP="00E03D35">
      <w:pPr>
        <w:pStyle w:val="BodyText"/>
        <w:numPr>
          <w:ilvl w:val="3"/>
          <w:numId w:val="6"/>
        </w:numPr>
        <w:spacing w:after="0"/>
        <w:jc w:val="both"/>
        <w:rPr>
          <w:rFonts w:ascii="Book Antiqua" w:hAnsi="Book Antiqua"/>
          <w:szCs w:val="24"/>
        </w:rPr>
      </w:pPr>
      <w:r w:rsidRPr="00FF2AA2">
        <w:rPr>
          <w:rFonts w:ascii="Book Antiqua" w:hAnsi="Book Antiqua"/>
          <w:szCs w:val="24"/>
        </w:rPr>
        <w:lastRenderedPageBreak/>
        <w:t>To the physician or other healthcare</w:t>
      </w:r>
      <w:r w:rsidR="00C975A3">
        <w:rPr>
          <w:rFonts w:ascii="Book Antiqua" w:hAnsi="Book Antiqua"/>
          <w:szCs w:val="24"/>
        </w:rPr>
        <w:t xml:space="preserve"> provider who ordered the test.</w:t>
      </w:r>
    </w:p>
    <w:p w:rsidR="00661200" w:rsidRPr="00FF2AA2" w:rsidRDefault="00661200" w:rsidP="00E03D35">
      <w:pPr>
        <w:pStyle w:val="BodyText"/>
        <w:numPr>
          <w:ilvl w:val="3"/>
          <w:numId w:val="6"/>
        </w:numPr>
        <w:spacing w:after="0"/>
        <w:jc w:val="both"/>
        <w:rPr>
          <w:rFonts w:ascii="Book Antiqua" w:hAnsi="Book Antiqua"/>
          <w:szCs w:val="24"/>
        </w:rPr>
      </w:pPr>
      <w:r w:rsidRPr="00FF2AA2">
        <w:rPr>
          <w:rFonts w:ascii="Book Antiqua" w:hAnsi="Book Antiqua"/>
          <w:szCs w:val="24"/>
        </w:rPr>
        <w:t>To physicians, nurses and other health care providers who have a legitimate need to know the test results for their protection and for the patient’s health and welfare</w:t>
      </w:r>
      <w:r w:rsidR="00C2434D">
        <w:rPr>
          <w:rFonts w:ascii="Book Antiqua" w:hAnsi="Book Antiqua"/>
          <w:szCs w:val="24"/>
        </w:rPr>
        <w:t>.</w:t>
      </w:r>
      <w:r w:rsidRPr="00FF2AA2">
        <w:rPr>
          <w:rFonts w:ascii="Book Antiqua" w:hAnsi="Book Antiqua"/>
          <w:szCs w:val="24"/>
        </w:rPr>
        <w:t xml:space="preserve"> </w:t>
      </w:r>
    </w:p>
    <w:p w:rsidR="00661200" w:rsidRPr="00FF2AA2" w:rsidRDefault="00C2434D" w:rsidP="00E03D35">
      <w:pPr>
        <w:pStyle w:val="BodyText"/>
        <w:numPr>
          <w:ilvl w:val="3"/>
          <w:numId w:val="6"/>
        </w:numPr>
        <w:spacing w:after="0"/>
        <w:jc w:val="both"/>
        <w:rPr>
          <w:rFonts w:ascii="Book Antiqua" w:hAnsi="Book Antiqua"/>
          <w:szCs w:val="24"/>
        </w:rPr>
      </w:pPr>
      <w:r>
        <w:rPr>
          <w:rFonts w:ascii="Book Antiqua" w:hAnsi="Book Antiqua"/>
          <w:szCs w:val="24"/>
        </w:rPr>
        <w:t>To the patient tested.</w:t>
      </w:r>
    </w:p>
    <w:p w:rsidR="00661200" w:rsidRPr="00FF2AA2" w:rsidRDefault="00661200" w:rsidP="00E03D35">
      <w:pPr>
        <w:pStyle w:val="BodyText"/>
        <w:numPr>
          <w:ilvl w:val="3"/>
          <w:numId w:val="6"/>
        </w:numPr>
        <w:spacing w:after="0"/>
        <w:jc w:val="both"/>
        <w:rPr>
          <w:rFonts w:ascii="Book Antiqua" w:hAnsi="Book Antiqua"/>
          <w:szCs w:val="24"/>
        </w:rPr>
      </w:pPr>
      <w:r w:rsidRPr="00FF2AA2">
        <w:rPr>
          <w:rFonts w:ascii="Book Antiqua" w:hAnsi="Book Antiqua"/>
          <w:szCs w:val="24"/>
        </w:rPr>
        <w:t>To the spouse of the patient who t</w:t>
      </w:r>
      <w:r w:rsidR="00C2434D">
        <w:rPr>
          <w:rFonts w:ascii="Book Antiqua" w:hAnsi="Book Antiqua"/>
          <w:szCs w:val="24"/>
        </w:rPr>
        <w:t>ests positive for AIDS or HIV.</w:t>
      </w:r>
    </w:p>
    <w:p w:rsidR="00661200" w:rsidRPr="00FF2AA2" w:rsidRDefault="00661200" w:rsidP="00E03D35">
      <w:pPr>
        <w:pStyle w:val="BodyText"/>
        <w:numPr>
          <w:ilvl w:val="3"/>
          <w:numId w:val="6"/>
        </w:numPr>
        <w:spacing w:after="0"/>
        <w:jc w:val="both"/>
        <w:rPr>
          <w:rFonts w:ascii="Book Antiqua" w:hAnsi="Book Antiqua"/>
          <w:szCs w:val="24"/>
        </w:rPr>
      </w:pPr>
      <w:r w:rsidRPr="00FF2AA2">
        <w:rPr>
          <w:rFonts w:ascii="Book Antiqua" w:hAnsi="Book Antiqua"/>
          <w:szCs w:val="24"/>
        </w:rPr>
        <w:t>To the patient’s partner, pursuant to a partner notification program when reported by a health care professional who actually knows that a patient is HIV positive and possibly has transmitted the HIV virus to a third party</w:t>
      </w:r>
      <w:r w:rsidR="00C2434D">
        <w:rPr>
          <w:rFonts w:ascii="Book Antiqua" w:hAnsi="Book Antiqua"/>
          <w:szCs w:val="24"/>
        </w:rPr>
        <w:t>.</w:t>
      </w:r>
      <w:r w:rsidRPr="00FF2AA2">
        <w:rPr>
          <w:rFonts w:ascii="Book Antiqua" w:hAnsi="Book Antiqua"/>
          <w:szCs w:val="24"/>
        </w:rPr>
        <w:t xml:space="preserve"> </w:t>
      </w:r>
    </w:p>
    <w:p w:rsidR="00661200" w:rsidRPr="00FF2AA2" w:rsidRDefault="00661200" w:rsidP="00E03D35">
      <w:pPr>
        <w:pStyle w:val="BodyText"/>
        <w:numPr>
          <w:ilvl w:val="3"/>
          <w:numId w:val="6"/>
        </w:numPr>
        <w:spacing w:after="0"/>
        <w:jc w:val="both"/>
        <w:rPr>
          <w:rFonts w:ascii="Book Antiqua" w:hAnsi="Book Antiqua"/>
          <w:szCs w:val="24"/>
        </w:rPr>
      </w:pPr>
      <w:r w:rsidRPr="00FF2AA2">
        <w:rPr>
          <w:rFonts w:ascii="Book Antiqua" w:hAnsi="Book Antiqua"/>
          <w:szCs w:val="24"/>
        </w:rPr>
        <w:t>To law enforcement officers, firefighters, emergency medical personnel, and correction officers exposed to the HIV virus, as provided by relevant law</w:t>
      </w:r>
      <w:r w:rsidR="00C2434D">
        <w:rPr>
          <w:rFonts w:ascii="Book Antiqua" w:hAnsi="Book Antiqua"/>
          <w:szCs w:val="24"/>
        </w:rPr>
        <w:t>.</w:t>
      </w:r>
      <w:r w:rsidRPr="00FF2AA2">
        <w:rPr>
          <w:rFonts w:ascii="Book Antiqua" w:hAnsi="Book Antiqua"/>
          <w:szCs w:val="24"/>
        </w:rPr>
        <w:t xml:space="preserve"> </w:t>
      </w:r>
    </w:p>
    <w:p w:rsidR="00661200" w:rsidRPr="00FF2AA2" w:rsidRDefault="00661200" w:rsidP="00E03D35">
      <w:pPr>
        <w:pStyle w:val="BodyText"/>
        <w:numPr>
          <w:ilvl w:val="3"/>
          <w:numId w:val="6"/>
        </w:numPr>
        <w:spacing w:after="0"/>
        <w:jc w:val="both"/>
        <w:rPr>
          <w:rFonts w:ascii="Book Antiqua" w:hAnsi="Book Antiqua"/>
          <w:szCs w:val="24"/>
        </w:rPr>
      </w:pPr>
      <w:r w:rsidRPr="00FF2AA2">
        <w:rPr>
          <w:rFonts w:ascii="Book Antiqua" w:hAnsi="Book Antiqua"/>
          <w:szCs w:val="24"/>
        </w:rPr>
        <w:t>To persons authorized to receive HIV test results obtained pursuant to Article 21.31 of the Texas Code of Criminal Procedure, which authorizes court-ordered testing of a defendant indicted for indecency with a child, sexual assault, or aggravated sexual assault.</w:t>
      </w:r>
      <w:r w:rsidRPr="00FF2AA2">
        <w:rPr>
          <w:rStyle w:val="FootnoteReference"/>
          <w:rFonts w:ascii="Book Antiqua" w:hAnsi="Book Antiqua"/>
          <w:szCs w:val="24"/>
        </w:rPr>
        <w:footnoteReference w:id="8"/>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Under state law, genetic information is confidential and privileged regardless of the source of the inform</w:t>
      </w:r>
      <w:r w:rsidR="00C975A3">
        <w:rPr>
          <w:rFonts w:ascii="Book Antiqua" w:hAnsi="Book Antiqua"/>
          <w:szCs w:val="24"/>
        </w:rPr>
        <w:t>ation.  The confidentiality of genetic i</w:t>
      </w:r>
      <w:r w:rsidRPr="00FF2AA2">
        <w:rPr>
          <w:rFonts w:ascii="Book Antiqua" w:hAnsi="Book Antiqua"/>
          <w:szCs w:val="24"/>
        </w:rPr>
        <w:t xml:space="preserve">nformation applies to a re-disclosure of </w:t>
      </w:r>
      <w:r w:rsidR="00C975A3">
        <w:rPr>
          <w:rFonts w:ascii="Book Antiqua" w:hAnsi="Book Antiqua"/>
          <w:szCs w:val="24"/>
        </w:rPr>
        <w:t>genetic i</w:t>
      </w:r>
      <w:r w:rsidRPr="00FF2AA2">
        <w:rPr>
          <w:rFonts w:ascii="Book Antiqua" w:hAnsi="Book Antiqua"/>
          <w:szCs w:val="24"/>
        </w:rPr>
        <w:t>nformation by a secondary recipient of the information after disclosure of the information by an initial recipient.</w:t>
      </w:r>
      <w:r w:rsidRPr="00FF2AA2">
        <w:rPr>
          <w:rStyle w:val="FootnoteReference"/>
          <w:rFonts w:ascii="Book Antiqua" w:hAnsi="Book Antiqua"/>
          <w:szCs w:val="24"/>
        </w:rPr>
        <w:footnoteReference w:id="9"/>
      </w:r>
      <w:r w:rsidRPr="00FF2AA2">
        <w:rPr>
          <w:rFonts w:ascii="Book Antiqua" w:hAnsi="Book Antiqua"/>
          <w:szCs w:val="24"/>
        </w:rPr>
        <w:t xml:space="preserve">  At th</w:t>
      </w:r>
      <w:r w:rsidR="00C2434D">
        <w:rPr>
          <w:rFonts w:ascii="Book Antiqua" w:hAnsi="Book Antiqua"/>
          <w:szCs w:val="24"/>
        </w:rPr>
        <w:t>e federal level, c</w:t>
      </w:r>
      <w:r w:rsidRPr="00FF2AA2">
        <w:rPr>
          <w:rFonts w:ascii="Book Antiqua" w:hAnsi="Book Antiqua"/>
          <w:szCs w:val="24"/>
        </w:rPr>
        <w:t xml:space="preserve">enters will need to consider the Genetic Information </w:t>
      </w:r>
      <w:r w:rsidR="00E03D35" w:rsidRPr="00FF2AA2">
        <w:rPr>
          <w:rFonts w:ascii="Book Antiqua" w:hAnsi="Book Antiqua"/>
          <w:szCs w:val="24"/>
        </w:rPr>
        <w:t>Nondiscrimination Act of 2008 (</w:t>
      </w:r>
      <w:r w:rsidRPr="00FF2AA2">
        <w:rPr>
          <w:rFonts w:ascii="Book Antiqua" w:hAnsi="Book Antiqua"/>
          <w:szCs w:val="24"/>
        </w:rPr>
        <w:t>GINA).</w:t>
      </w:r>
    </w:p>
    <w:p w:rsidR="00C975A3" w:rsidRDefault="00661200" w:rsidP="00E03D35">
      <w:pPr>
        <w:pStyle w:val="BodyText"/>
        <w:numPr>
          <w:ilvl w:val="1"/>
          <w:numId w:val="6"/>
        </w:numPr>
        <w:spacing w:after="0"/>
        <w:jc w:val="both"/>
        <w:rPr>
          <w:rFonts w:ascii="Book Antiqua" w:hAnsi="Book Antiqua"/>
          <w:szCs w:val="24"/>
        </w:rPr>
      </w:pPr>
      <w:r w:rsidRPr="00C975A3">
        <w:rPr>
          <w:rFonts w:ascii="Book Antiqua" w:hAnsi="Book Antiqua"/>
          <w:szCs w:val="24"/>
        </w:rPr>
        <w:t>Limits on Use and Disclosure. The</w:t>
      </w:r>
      <w:r w:rsidR="00C975A3" w:rsidRPr="00C975A3">
        <w:rPr>
          <w:rFonts w:ascii="Book Antiqua" w:hAnsi="Book Antiqua"/>
          <w:szCs w:val="24"/>
        </w:rPr>
        <w:t xml:space="preserve"> HIPAA privacy r</w:t>
      </w:r>
      <w:r w:rsidR="00C2434D" w:rsidRPr="00C975A3">
        <w:rPr>
          <w:rFonts w:ascii="Book Antiqua" w:hAnsi="Book Antiqua"/>
          <w:szCs w:val="24"/>
        </w:rPr>
        <w:t>ule limits how c</w:t>
      </w:r>
      <w:r w:rsidRPr="00C975A3">
        <w:rPr>
          <w:rFonts w:ascii="Book Antiqua" w:hAnsi="Book Antiqua"/>
          <w:szCs w:val="24"/>
        </w:rPr>
        <w:t>enters may use and PHI for purposes other than treatment, payment, or health care operations.  For all other purposes (subject to delineated ex</w:t>
      </w:r>
      <w:r w:rsidR="00C2434D" w:rsidRPr="00C975A3">
        <w:rPr>
          <w:rFonts w:ascii="Book Antiqua" w:hAnsi="Book Antiqua"/>
          <w:szCs w:val="24"/>
        </w:rPr>
        <w:t>ceptions, as described below), c</w:t>
      </w:r>
      <w:r w:rsidRPr="00C975A3">
        <w:rPr>
          <w:rFonts w:ascii="Book Antiqua" w:hAnsi="Book Antiqua"/>
          <w:szCs w:val="24"/>
        </w:rPr>
        <w:t>enters must obtain patients’ specific written authoriz</w:t>
      </w:r>
      <w:r w:rsidR="00C975A3" w:rsidRPr="00C975A3">
        <w:rPr>
          <w:rFonts w:ascii="Book Antiqua" w:hAnsi="Book Antiqua"/>
          <w:szCs w:val="24"/>
        </w:rPr>
        <w:t>ation to release PHI. A sample a</w:t>
      </w:r>
      <w:r w:rsidRPr="00C975A3">
        <w:rPr>
          <w:rFonts w:ascii="Book Antiqua" w:hAnsi="Book Antiqua"/>
          <w:szCs w:val="24"/>
        </w:rPr>
        <w:t xml:space="preserve">uthorization for </w:t>
      </w:r>
      <w:r w:rsidR="00C975A3" w:rsidRPr="00C975A3">
        <w:rPr>
          <w:rFonts w:ascii="Book Antiqua" w:hAnsi="Book Antiqua"/>
          <w:szCs w:val="24"/>
        </w:rPr>
        <w:t>use or d</w:t>
      </w:r>
      <w:r w:rsidRPr="00C975A3">
        <w:rPr>
          <w:rFonts w:ascii="Book Antiqua" w:hAnsi="Book Antiqua"/>
          <w:szCs w:val="24"/>
        </w:rPr>
        <w:t xml:space="preserve">isclosure of </w:t>
      </w:r>
      <w:r w:rsidR="00C975A3" w:rsidRPr="00C975A3">
        <w:rPr>
          <w:rFonts w:ascii="Book Antiqua" w:hAnsi="Book Antiqua"/>
          <w:szCs w:val="24"/>
        </w:rPr>
        <w:t>health i</w:t>
      </w:r>
      <w:r w:rsidRPr="00C975A3">
        <w:rPr>
          <w:rFonts w:ascii="Book Antiqua" w:hAnsi="Book Antiqua"/>
          <w:szCs w:val="24"/>
        </w:rPr>
        <w:t xml:space="preserve">nformation is provided in </w:t>
      </w:r>
      <w:r w:rsidR="00C975A3">
        <w:rPr>
          <w:rFonts w:ascii="Book Antiqua" w:hAnsi="Book Antiqua"/>
          <w:szCs w:val="24"/>
        </w:rPr>
        <w:t>this manual.</w:t>
      </w:r>
    </w:p>
    <w:p w:rsidR="00661200" w:rsidRPr="00C975A3" w:rsidRDefault="00661200" w:rsidP="00E03D35">
      <w:pPr>
        <w:pStyle w:val="BodyText"/>
        <w:numPr>
          <w:ilvl w:val="1"/>
          <w:numId w:val="6"/>
        </w:numPr>
        <w:spacing w:after="0"/>
        <w:jc w:val="both"/>
        <w:rPr>
          <w:rFonts w:ascii="Book Antiqua" w:hAnsi="Book Antiqua"/>
          <w:szCs w:val="24"/>
        </w:rPr>
      </w:pPr>
      <w:r w:rsidRPr="00C975A3">
        <w:rPr>
          <w:rFonts w:ascii="Book Antiqua" w:hAnsi="Book Antiqua"/>
          <w:szCs w:val="24"/>
        </w:rPr>
        <w:t>Use or Disclosure Permitted Without Authorization</w:t>
      </w:r>
      <w:r w:rsidR="00C2434D" w:rsidRPr="00C975A3">
        <w:rPr>
          <w:rFonts w:ascii="Book Antiqua" w:hAnsi="Book Antiqua"/>
          <w:szCs w:val="24"/>
        </w:rPr>
        <w:t xml:space="preserve">. </w:t>
      </w:r>
      <w:r w:rsidRPr="00C975A3">
        <w:rPr>
          <w:rFonts w:ascii="Book Antiqua" w:hAnsi="Book Antiqua"/>
          <w:szCs w:val="24"/>
        </w:rPr>
        <w:t xml:space="preserve">The HIPAA Privacy Rule </w:t>
      </w:r>
      <w:r w:rsidR="00C2434D" w:rsidRPr="00C975A3">
        <w:rPr>
          <w:rFonts w:ascii="Book Antiqua" w:hAnsi="Book Antiqua"/>
          <w:szCs w:val="24"/>
        </w:rPr>
        <w:t>permits, but does not require, c</w:t>
      </w:r>
      <w:r w:rsidRPr="00C975A3">
        <w:rPr>
          <w:rFonts w:ascii="Book Antiqua" w:hAnsi="Book Antiqua"/>
          <w:szCs w:val="24"/>
        </w:rPr>
        <w:t xml:space="preserve">enters to use or disclose PHI without authorization for the following purposes:  </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Uses a</w:t>
      </w:r>
      <w:r w:rsidR="00C975A3">
        <w:rPr>
          <w:rFonts w:ascii="Book Antiqua" w:hAnsi="Book Antiqua"/>
          <w:szCs w:val="24"/>
        </w:rPr>
        <w:t>nd disclosures required by law.</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lastRenderedPageBreak/>
        <w:t>Uses and disclosures for public health activities (e.g., disease control and prevention, reports of child abus</w:t>
      </w:r>
      <w:r w:rsidR="00C975A3">
        <w:rPr>
          <w:rFonts w:ascii="Book Antiqua" w:hAnsi="Book Antiqua"/>
          <w:szCs w:val="24"/>
        </w:rPr>
        <w:t>e, post-marketing surveillance).</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Disclosures about victims of abuse</w:t>
      </w:r>
      <w:r w:rsidR="00C975A3">
        <w:rPr>
          <w:rFonts w:ascii="Book Antiqua" w:hAnsi="Book Antiqua"/>
          <w:szCs w:val="24"/>
        </w:rPr>
        <w:t>, neglect, or domestic violence.</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 xml:space="preserve">Uses and disclosures </w:t>
      </w:r>
      <w:r w:rsidR="00C975A3">
        <w:rPr>
          <w:rFonts w:ascii="Book Antiqua" w:hAnsi="Book Antiqua"/>
          <w:szCs w:val="24"/>
        </w:rPr>
        <w:t>for health oversight activities.</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Disclosures for judicial and administrative proceedings (i.e., in respons</w:t>
      </w:r>
      <w:r w:rsidR="00C975A3">
        <w:rPr>
          <w:rFonts w:ascii="Book Antiqua" w:hAnsi="Book Antiqua"/>
          <w:szCs w:val="24"/>
        </w:rPr>
        <w:t>e to a court order or subpoena).</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Disclosur</w:t>
      </w:r>
      <w:r w:rsidR="00C975A3">
        <w:rPr>
          <w:rFonts w:ascii="Book Antiqua" w:hAnsi="Book Antiqua"/>
          <w:szCs w:val="24"/>
        </w:rPr>
        <w:t>es for law enforcement purposes.</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Limited disclosures for identification and location purposes in response to a request by a law enforcement official (e.g., identification of suspects, missing persons,</w:t>
      </w:r>
      <w:r w:rsidR="00C975A3">
        <w:rPr>
          <w:rFonts w:ascii="Book Antiqua" w:hAnsi="Book Antiqua"/>
          <w:szCs w:val="24"/>
        </w:rPr>
        <w:t xml:space="preserve"> victims of a crime, decedents).</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 xml:space="preserve">Uses </w:t>
      </w:r>
      <w:r w:rsidR="00C975A3">
        <w:rPr>
          <w:rFonts w:ascii="Book Antiqua" w:hAnsi="Book Antiqua"/>
          <w:szCs w:val="24"/>
        </w:rPr>
        <w:t>and disclosures about decedents.</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Uses and disclosures for cadaveric organ, e</w:t>
      </w:r>
      <w:r w:rsidR="00C975A3">
        <w:rPr>
          <w:rFonts w:ascii="Book Antiqua" w:hAnsi="Book Antiqua"/>
          <w:szCs w:val="24"/>
        </w:rPr>
        <w:t>ye, or tissue donation purposes.</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Uses and di</w:t>
      </w:r>
      <w:r w:rsidR="00C975A3">
        <w:rPr>
          <w:rFonts w:ascii="Book Antiqua" w:hAnsi="Book Antiqua"/>
          <w:szCs w:val="24"/>
        </w:rPr>
        <w:t>sclosures for research purposes.</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Uses and disclosures for specialized government functions (e.g., separation from milit</w:t>
      </w:r>
      <w:r w:rsidR="00C975A3">
        <w:rPr>
          <w:rFonts w:ascii="Book Antiqua" w:hAnsi="Book Antiqua"/>
          <w:szCs w:val="24"/>
        </w:rPr>
        <w:t>ary service, national security).</w:t>
      </w:r>
    </w:p>
    <w:p w:rsidR="00661200"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 xml:space="preserve">Disclosures for workers’ compensation. </w:t>
      </w:r>
    </w:p>
    <w:p w:rsidR="00C975A3" w:rsidRPr="00FF2AA2" w:rsidRDefault="00C975A3" w:rsidP="00C975A3">
      <w:pPr>
        <w:pStyle w:val="BodyText"/>
        <w:spacing w:after="0"/>
        <w:ind w:left="2520"/>
        <w:jc w:val="both"/>
        <w:rPr>
          <w:rFonts w:ascii="Book Antiqua" w:hAnsi="Book Antiqua"/>
          <w:szCs w:val="24"/>
        </w:rPr>
      </w:pPr>
    </w:p>
    <w:p w:rsidR="00661200" w:rsidRPr="00FF2AA2" w:rsidRDefault="00661200" w:rsidP="00E03D35">
      <w:pPr>
        <w:pStyle w:val="BodyText"/>
        <w:spacing w:after="0"/>
        <w:ind w:left="1800"/>
        <w:jc w:val="both"/>
        <w:rPr>
          <w:rFonts w:ascii="Book Antiqua" w:hAnsi="Book Antiqua"/>
          <w:szCs w:val="24"/>
        </w:rPr>
      </w:pPr>
      <w:r w:rsidRPr="00FF2AA2">
        <w:rPr>
          <w:rFonts w:ascii="Book Antiqua" w:hAnsi="Book Antiqua"/>
          <w:szCs w:val="24"/>
        </w:rPr>
        <w:t>The HIPAA Privacy Rule specifies requirements and procedures for release of informatio</w:t>
      </w:r>
      <w:r w:rsidR="00E03D35" w:rsidRPr="00FF2AA2">
        <w:rPr>
          <w:rFonts w:ascii="Book Antiqua" w:hAnsi="Book Antiqua"/>
          <w:szCs w:val="24"/>
        </w:rPr>
        <w:t xml:space="preserve">n subject to these exceptions. </w:t>
      </w:r>
      <w:r w:rsidRPr="00FF2AA2">
        <w:rPr>
          <w:rFonts w:ascii="Book Antiqua" w:hAnsi="Book Antiqua"/>
          <w:szCs w:val="24"/>
        </w:rPr>
        <w:t>It is important to review an exception carefully to confirm that the use or disclosure you are considering actually fits within its confines, before moving forward.</w:t>
      </w:r>
    </w:p>
    <w:p w:rsidR="00661200" w:rsidRPr="00FF2AA2" w:rsidRDefault="00661200" w:rsidP="00E03D35">
      <w:pPr>
        <w:pStyle w:val="BodyText"/>
        <w:numPr>
          <w:ilvl w:val="1"/>
          <w:numId w:val="6"/>
        </w:numPr>
        <w:spacing w:after="0"/>
        <w:jc w:val="both"/>
        <w:rPr>
          <w:rFonts w:ascii="Book Antiqua" w:hAnsi="Book Antiqua"/>
          <w:szCs w:val="24"/>
        </w:rPr>
      </w:pPr>
      <w:r w:rsidRPr="00FF2AA2">
        <w:rPr>
          <w:rFonts w:ascii="Book Antiqua" w:hAnsi="Book Antiqua"/>
          <w:szCs w:val="24"/>
        </w:rPr>
        <w:t>Required Disclosures</w:t>
      </w:r>
      <w:r w:rsidR="00E03D35" w:rsidRPr="00FF2AA2">
        <w:rPr>
          <w:rFonts w:ascii="Book Antiqua" w:hAnsi="Book Antiqua"/>
          <w:szCs w:val="24"/>
        </w:rPr>
        <w:t xml:space="preserve">. </w:t>
      </w:r>
      <w:r w:rsidRPr="00FF2AA2">
        <w:rPr>
          <w:rFonts w:ascii="Book Antiqua" w:hAnsi="Book Antiqua"/>
          <w:szCs w:val="24"/>
        </w:rPr>
        <w:t>The H</w:t>
      </w:r>
      <w:r w:rsidR="00D22BA6">
        <w:rPr>
          <w:rFonts w:ascii="Book Antiqua" w:hAnsi="Book Antiqua"/>
          <w:szCs w:val="24"/>
        </w:rPr>
        <w:t>IPAA privacy rule requires the ce</w:t>
      </w:r>
      <w:r w:rsidRPr="00FF2AA2">
        <w:rPr>
          <w:rFonts w:ascii="Book Antiqua" w:hAnsi="Book Antiqua"/>
          <w:szCs w:val="24"/>
        </w:rPr>
        <w:t>nter to disclose PHI in three instances:</w:t>
      </w:r>
      <w:bookmarkStart w:id="0" w:name="OLE_LINK1"/>
      <w:bookmarkStart w:id="1" w:name="OLE_LINK2"/>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When the patient requests access to information about him or herself, or an accounting of certain disclosures, except as that right is limited by applicable law</w:t>
      </w:r>
      <w:bookmarkEnd w:id="0"/>
      <w:bookmarkEnd w:id="1"/>
      <w:r w:rsidR="00D22BA6">
        <w:rPr>
          <w:rFonts w:ascii="Book Antiqua" w:hAnsi="Book Antiqua"/>
          <w:szCs w:val="24"/>
        </w:rPr>
        <w:t>.</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When HHS requests information t</w:t>
      </w:r>
      <w:r w:rsidR="00D22BA6">
        <w:rPr>
          <w:rFonts w:ascii="Book Antiqua" w:hAnsi="Book Antiqua"/>
          <w:szCs w:val="24"/>
        </w:rPr>
        <w:t>o investigate or determine the ce</w:t>
      </w:r>
      <w:r w:rsidRPr="00FF2AA2">
        <w:rPr>
          <w:rFonts w:ascii="Book Antiqua" w:hAnsi="Book Antiqua"/>
          <w:szCs w:val="24"/>
        </w:rPr>
        <w:t>n</w:t>
      </w:r>
      <w:r w:rsidR="00D22BA6">
        <w:rPr>
          <w:rFonts w:ascii="Book Antiqua" w:hAnsi="Book Antiqua"/>
          <w:szCs w:val="24"/>
        </w:rPr>
        <w:t>ter’s compliance with the rules.</w:t>
      </w:r>
    </w:p>
    <w:p w:rsidR="00661200" w:rsidRPr="00FF2AA2" w:rsidRDefault="00661200" w:rsidP="00E03D35">
      <w:pPr>
        <w:pStyle w:val="BodyText"/>
        <w:numPr>
          <w:ilvl w:val="2"/>
          <w:numId w:val="6"/>
        </w:numPr>
        <w:spacing w:after="0"/>
        <w:jc w:val="both"/>
        <w:rPr>
          <w:rFonts w:ascii="Book Antiqua" w:hAnsi="Book Antiqua"/>
          <w:szCs w:val="24"/>
        </w:rPr>
      </w:pPr>
      <w:r w:rsidRPr="00FF2AA2">
        <w:rPr>
          <w:rFonts w:ascii="Book Antiqua" w:hAnsi="Book Antiqua"/>
          <w:szCs w:val="24"/>
        </w:rPr>
        <w:t>When state law requires disclosure that is not prohibited by HIPAA.</w:t>
      </w:r>
    </w:p>
    <w:p w:rsidR="00661200" w:rsidRPr="00422F35" w:rsidRDefault="00D22BA6" w:rsidP="00E03D35">
      <w:pPr>
        <w:pStyle w:val="BodyText"/>
        <w:numPr>
          <w:ilvl w:val="1"/>
          <w:numId w:val="6"/>
        </w:numPr>
        <w:spacing w:after="0"/>
        <w:jc w:val="both"/>
        <w:rPr>
          <w:rFonts w:ascii="Book Antiqua" w:hAnsi="Book Antiqua"/>
          <w:szCs w:val="24"/>
        </w:rPr>
      </w:pPr>
      <w:r>
        <w:rPr>
          <w:rFonts w:ascii="Book Antiqua" w:hAnsi="Book Antiqua"/>
          <w:szCs w:val="24"/>
        </w:rPr>
        <w:t>Business Associates. A business a</w:t>
      </w:r>
      <w:r w:rsidR="00661200" w:rsidRPr="00422F35">
        <w:rPr>
          <w:rFonts w:ascii="Book Antiqua" w:hAnsi="Book Antiqua"/>
          <w:szCs w:val="24"/>
        </w:rPr>
        <w:t>ssociate is a person or organization that receives, creates, or has access</w:t>
      </w:r>
      <w:r w:rsidR="00422F35">
        <w:rPr>
          <w:rFonts w:ascii="Book Antiqua" w:hAnsi="Book Antiqua"/>
          <w:szCs w:val="24"/>
        </w:rPr>
        <w:t xml:space="preserve"> to PHI from or on behalf of a c</w:t>
      </w:r>
      <w:r w:rsidR="00661200" w:rsidRPr="00422F35">
        <w:rPr>
          <w:rFonts w:ascii="Book Antiqua" w:hAnsi="Book Antiqua"/>
          <w:szCs w:val="24"/>
        </w:rPr>
        <w:t xml:space="preserve">overed </w:t>
      </w:r>
      <w:r w:rsidR="00422F35">
        <w:rPr>
          <w:rFonts w:ascii="Book Antiqua" w:hAnsi="Book Antiqua"/>
          <w:szCs w:val="24"/>
        </w:rPr>
        <w:t>e</w:t>
      </w:r>
      <w:r w:rsidR="00661200" w:rsidRPr="00422F35">
        <w:rPr>
          <w:rFonts w:ascii="Book Antiqua" w:hAnsi="Book Antiqua"/>
          <w:szCs w:val="24"/>
        </w:rPr>
        <w:t>ntity for the purpose of providing a function</w:t>
      </w:r>
      <w:r w:rsidR="00422F35">
        <w:rPr>
          <w:rFonts w:ascii="Book Antiqua" w:hAnsi="Book Antiqua"/>
          <w:szCs w:val="24"/>
        </w:rPr>
        <w:t>, activity, or service to that covered e</w:t>
      </w:r>
      <w:r w:rsidR="00661200" w:rsidRPr="00422F35">
        <w:rPr>
          <w:rFonts w:ascii="Book Antiqua" w:hAnsi="Book Antiqua"/>
          <w:szCs w:val="24"/>
        </w:rPr>
        <w:t xml:space="preserve">ntity. </w:t>
      </w:r>
      <w:r w:rsidR="00422F35">
        <w:rPr>
          <w:rFonts w:ascii="Book Antiqua" w:hAnsi="Book Antiqua"/>
          <w:szCs w:val="24"/>
        </w:rPr>
        <w:t>Covered e</w:t>
      </w:r>
      <w:r>
        <w:rPr>
          <w:rFonts w:ascii="Book Antiqua" w:hAnsi="Book Antiqua"/>
          <w:szCs w:val="24"/>
        </w:rPr>
        <w:t>ntities may release PHI to a b</w:t>
      </w:r>
      <w:r w:rsidR="00661200" w:rsidRPr="00422F35">
        <w:rPr>
          <w:rFonts w:ascii="Book Antiqua" w:hAnsi="Book Antiqua"/>
          <w:szCs w:val="24"/>
        </w:rPr>
        <w:t xml:space="preserve">usiness </w:t>
      </w:r>
      <w:r>
        <w:rPr>
          <w:rFonts w:ascii="Book Antiqua" w:hAnsi="Book Antiqua"/>
          <w:szCs w:val="24"/>
        </w:rPr>
        <w:t>a</w:t>
      </w:r>
      <w:r w:rsidR="00661200" w:rsidRPr="00422F35">
        <w:rPr>
          <w:rFonts w:ascii="Book Antiqua" w:hAnsi="Book Antiqua"/>
          <w:szCs w:val="24"/>
        </w:rPr>
        <w:t>ssociate without authorization, but must have in place a written Business Associate Agreement, which contains a number of safeguards that are expre</w:t>
      </w:r>
      <w:r w:rsidR="00422F35">
        <w:rPr>
          <w:rFonts w:ascii="Book Antiqua" w:hAnsi="Book Antiqua"/>
          <w:szCs w:val="24"/>
        </w:rPr>
        <w:t xml:space="preserve">ssly mandated by regulations. </w:t>
      </w:r>
      <w:r w:rsidR="00661200" w:rsidRPr="00422F35">
        <w:rPr>
          <w:rFonts w:ascii="Book Antiqua" w:hAnsi="Book Antiqua"/>
          <w:szCs w:val="24"/>
        </w:rPr>
        <w:t xml:space="preserve">A sample Business Associate Agreement is provided in </w:t>
      </w:r>
      <w:r>
        <w:rPr>
          <w:rFonts w:ascii="Book Antiqua" w:hAnsi="Book Antiqua"/>
          <w:szCs w:val="24"/>
        </w:rPr>
        <w:t>this manual.</w:t>
      </w:r>
    </w:p>
    <w:p w:rsidR="00E03D35" w:rsidRPr="00FF2AA2" w:rsidRDefault="00E03D35" w:rsidP="00E03D35">
      <w:pPr>
        <w:pStyle w:val="BodyText"/>
        <w:spacing w:after="0"/>
        <w:ind w:left="1800"/>
        <w:jc w:val="both"/>
        <w:rPr>
          <w:rFonts w:ascii="Book Antiqua" w:hAnsi="Book Antiqua"/>
          <w:szCs w:val="24"/>
        </w:rPr>
      </w:pPr>
    </w:p>
    <w:p w:rsidR="00661200" w:rsidRPr="00FF2AA2" w:rsidRDefault="00D22BA6" w:rsidP="00E03D35">
      <w:pPr>
        <w:pStyle w:val="BodyText"/>
        <w:numPr>
          <w:ilvl w:val="1"/>
          <w:numId w:val="6"/>
        </w:numPr>
        <w:spacing w:after="0"/>
        <w:jc w:val="both"/>
        <w:rPr>
          <w:rFonts w:ascii="Book Antiqua" w:hAnsi="Book Antiqua"/>
          <w:szCs w:val="24"/>
        </w:rPr>
      </w:pPr>
      <w:r>
        <w:rPr>
          <w:rFonts w:ascii="Book Antiqua" w:hAnsi="Book Antiqua"/>
          <w:szCs w:val="24"/>
        </w:rPr>
        <w:t>Patient Rights. The HIPAA privacy r</w:t>
      </w:r>
      <w:r w:rsidR="00661200" w:rsidRPr="00FF2AA2">
        <w:rPr>
          <w:rFonts w:ascii="Book Antiqua" w:hAnsi="Book Antiqua"/>
          <w:szCs w:val="24"/>
        </w:rPr>
        <w:t>ule establishes certain rights for patients whose PHI is maintained</w:t>
      </w:r>
      <w:r w:rsidR="00F566F6">
        <w:rPr>
          <w:rFonts w:ascii="Book Antiqua" w:hAnsi="Book Antiqua"/>
          <w:szCs w:val="24"/>
        </w:rPr>
        <w:t xml:space="preserve"> by covered e</w:t>
      </w:r>
      <w:r w:rsidR="00661200" w:rsidRPr="00FF2AA2">
        <w:rPr>
          <w:rFonts w:ascii="Book Antiqua" w:hAnsi="Book Antiqua"/>
          <w:szCs w:val="24"/>
        </w:rPr>
        <w:t xml:space="preserve">ntities. Centers must provide all patients who receive services from the </w:t>
      </w:r>
      <w:r w:rsidR="00F566F6">
        <w:rPr>
          <w:rFonts w:ascii="Book Antiqua" w:hAnsi="Book Antiqua"/>
          <w:szCs w:val="24"/>
        </w:rPr>
        <w:t>c</w:t>
      </w:r>
      <w:r w:rsidR="00661200" w:rsidRPr="00FF2AA2">
        <w:rPr>
          <w:rFonts w:ascii="Book Antiqua" w:hAnsi="Book Antiqua"/>
          <w:szCs w:val="24"/>
        </w:rPr>
        <w:t xml:space="preserve">enter with notice of these limitations and rights in the form of a Notice of Privacy Practices.  Specifically, patients have rights pertaining to access and amendment of PHI, restriction on disclosure of PHI, as well as a right to receive an accounting (i.e., a report) of certain disclosures of PHI.  </w:t>
      </w:r>
      <w:r w:rsidR="00661200" w:rsidRPr="00F566F6">
        <w:rPr>
          <w:rFonts w:ascii="Book Antiqua" w:hAnsi="Book Antiqua"/>
          <w:szCs w:val="24"/>
        </w:rPr>
        <w:t xml:space="preserve">Sample policies and related forms are provided in </w:t>
      </w:r>
      <w:r>
        <w:rPr>
          <w:rFonts w:ascii="Book Antiqua" w:hAnsi="Book Antiqua"/>
          <w:szCs w:val="24"/>
        </w:rPr>
        <w:t>this manual.</w:t>
      </w:r>
    </w:p>
    <w:p w:rsidR="00661200" w:rsidRPr="00FF2AA2" w:rsidRDefault="00661200" w:rsidP="00E03D35">
      <w:pPr>
        <w:pStyle w:val="BodyText"/>
        <w:numPr>
          <w:ilvl w:val="1"/>
          <w:numId w:val="6"/>
        </w:numPr>
        <w:spacing w:after="0"/>
        <w:jc w:val="both"/>
        <w:rPr>
          <w:rFonts w:ascii="Book Antiqua" w:hAnsi="Book Antiqua"/>
          <w:szCs w:val="24"/>
        </w:rPr>
      </w:pPr>
      <w:r w:rsidRPr="00FF2AA2">
        <w:rPr>
          <w:rFonts w:ascii="Book Antiqua" w:hAnsi="Book Antiqua"/>
          <w:szCs w:val="24"/>
        </w:rPr>
        <w:t>Privacy Officer</w:t>
      </w:r>
      <w:r w:rsidR="00E03D35" w:rsidRPr="00FF2AA2">
        <w:rPr>
          <w:rFonts w:ascii="Book Antiqua" w:hAnsi="Book Antiqua"/>
          <w:szCs w:val="24"/>
        </w:rPr>
        <w:t xml:space="preserve">. </w:t>
      </w:r>
      <w:r w:rsidR="00F566F6">
        <w:rPr>
          <w:rFonts w:ascii="Book Antiqua" w:hAnsi="Book Antiqua"/>
          <w:szCs w:val="24"/>
        </w:rPr>
        <w:t>The c</w:t>
      </w:r>
      <w:r w:rsidRPr="00FF2AA2">
        <w:rPr>
          <w:rFonts w:ascii="Book Antiqua" w:hAnsi="Book Antiqua"/>
          <w:szCs w:val="24"/>
        </w:rPr>
        <w:t>enter must appoint a Privacy Officer to be responsible for developing, implementing, m</w:t>
      </w:r>
      <w:r w:rsidR="00F566F6">
        <w:rPr>
          <w:rFonts w:ascii="Book Antiqua" w:hAnsi="Book Antiqua"/>
          <w:szCs w:val="24"/>
        </w:rPr>
        <w:t>onitoring, and enforcing HIPAA privacy p</w:t>
      </w:r>
      <w:r w:rsidRPr="00FF2AA2">
        <w:rPr>
          <w:rFonts w:ascii="Book Antiqua" w:hAnsi="Book Antiqua"/>
          <w:szCs w:val="24"/>
        </w:rPr>
        <w:t xml:space="preserve">olicies and </w:t>
      </w:r>
      <w:r w:rsidR="00F566F6">
        <w:rPr>
          <w:rFonts w:ascii="Book Antiqua" w:hAnsi="Book Antiqua"/>
          <w:szCs w:val="24"/>
        </w:rPr>
        <w:t>p</w:t>
      </w:r>
      <w:r w:rsidRPr="00FF2AA2">
        <w:rPr>
          <w:rFonts w:ascii="Book Antiqua" w:hAnsi="Book Antiqua"/>
          <w:szCs w:val="24"/>
        </w:rPr>
        <w:t xml:space="preserve">rocedures.  </w:t>
      </w:r>
    </w:p>
    <w:p w:rsidR="00661200" w:rsidRPr="00FF2AA2" w:rsidRDefault="00661200" w:rsidP="00E03D35">
      <w:pPr>
        <w:pStyle w:val="BodyText"/>
        <w:numPr>
          <w:ilvl w:val="1"/>
          <w:numId w:val="6"/>
        </w:numPr>
        <w:spacing w:after="0"/>
        <w:jc w:val="both"/>
        <w:rPr>
          <w:rFonts w:ascii="Book Antiqua" w:hAnsi="Book Antiqua"/>
          <w:szCs w:val="24"/>
        </w:rPr>
      </w:pPr>
      <w:r w:rsidRPr="00FF2AA2">
        <w:rPr>
          <w:rFonts w:ascii="Book Antiqua" w:hAnsi="Book Antiqua"/>
          <w:szCs w:val="24"/>
        </w:rPr>
        <w:t xml:space="preserve">Training. The </w:t>
      </w:r>
      <w:r w:rsidR="00F566F6">
        <w:rPr>
          <w:rFonts w:ascii="Book Antiqua" w:hAnsi="Book Antiqua"/>
          <w:szCs w:val="24"/>
        </w:rPr>
        <w:t>c</w:t>
      </w:r>
      <w:r w:rsidRPr="00FF2AA2">
        <w:rPr>
          <w:rFonts w:ascii="Book Antiqua" w:hAnsi="Book Antiqua"/>
          <w:szCs w:val="24"/>
        </w:rPr>
        <w:t xml:space="preserve">enter must </w:t>
      </w:r>
      <w:r w:rsidR="00F566F6">
        <w:rPr>
          <w:rFonts w:ascii="Book Antiqua" w:hAnsi="Book Antiqua"/>
          <w:szCs w:val="24"/>
        </w:rPr>
        <w:t>ensure that all members of the c</w:t>
      </w:r>
      <w:r w:rsidRPr="00FF2AA2">
        <w:rPr>
          <w:rFonts w:ascii="Book Antiqua" w:hAnsi="Book Antiqua"/>
          <w:szCs w:val="24"/>
        </w:rPr>
        <w:t xml:space="preserve">enter’s workforce receive initial training on HIPAA </w:t>
      </w:r>
      <w:r w:rsidR="00F566F6">
        <w:rPr>
          <w:rFonts w:ascii="Book Antiqua" w:hAnsi="Book Antiqua"/>
          <w:szCs w:val="24"/>
        </w:rPr>
        <w:t>privacy p</w:t>
      </w:r>
      <w:r w:rsidRPr="00FF2AA2">
        <w:rPr>
          <w:rFonts w:ascii="Book Antiqua" w:hAnsi="Book Antiqua"/>
          <w:szCs w:val="24"/>
        </w:rPr>
        <w:t xml:space="preserve">olicies and </w:t>
      </w:r>
      <w:r w:rsidR="00F566F6">
        <w:rPr>
          <w:rFonts w:ascii="Book Antiqua" w:hAnsi="Book Antiqua"/>
          <w:szCs w:val="24"/>
        </w:rPr>
        <w:t>p</w:t>
      </w:r>
      <w:r w:rsidRPr="00FF2AA2">
        <w:rPr>
          <w:rFonts w:ascii="Book Antiqua" w:hAnsi="Book Antiqua"/>
          <w:szCs w:val="24"/>
        </w:rPr>
        <w:t xml:space="preserve">rocedures, </w:t>
      </w:r>
      <w:r w:rsidR="00F566F6">
        <w:rPr>
          <w:rFonts w:ascii="Book Antiqua" w:hAnsi="Book Antiqua"/>
          <w:szCs w:val="24"/>
        </w:rPr>
        <w:t>and are updated when the HIPAA privacy r</w:t>
      </w:r>
      <w:r w:rsidRPr="00FF2AA2">
        <w:rPr>
          <w:rFonts w:ascii="Book Antiqua" w:hAnsi="Book Antiqua"/>
          <w:szCs w:val="24"/>
        </w:rPr>
        <w:t>ule changes in any material way.</w:t>
      </w:r>
    </w:p>
    <w:p w:rsidR="00661200" w:rsidRPr="00FF2AA2" w:rsidRDefault="00F566F6" w:rsidP="00E03D35">
      <w:pPr>
        <w:pStyle w:val="BodyText"/>
        <w:numPr>
          <w:ilvl w:val="1"/>
          <w:numId w:val="6"/>
        </w:numPr>
        <w:spacing w:after="0"/>
        <w:jc w:val="both"/>
        <w:rPr>
          <w:rFonts w:ascii="Book Antiqua" w:hAnsi="Book Antiqua"/>
          <w:szCs w:val="24"/>
        </w:rPr>
      </w:pPr>
      <w:r>
        <w:rPr>
          <w:rFonts w:ascii="Book Antiqua" w:hAnsi="Book Antiqua"/>
          <w:szCs w:val="24"/>
        </w:rPr>
        <w:t>Disciplinary Action. The c</w:t>
      </w:r>
      <w:r w:rsidR="00661200" w:rsidRPr="00FF2AA2">
        <w:rPr>
          <w:rFonts w:ascii="Book Antiqua" w:hAnsi="Book Antiqua"/>
          <w:szCs w:val="24"/>
        </w:rPr>
        <w:t xml:space="preserve">enter must take appropriate disciplinary action if </w:t>
      </w:r>
      <w:r>
        <w:rPr>
          <w:rFonts w:ascii="Book Antiqua" w:hAnsi="Book Antiqua"/>
          <w:szCs w:val="24"/>
        </w:rPr>
        <w:t>it learns that a member of the c</w:t>
      </w:r>
      <w:r w:rsidR="00661200" w:rsidRPr="00FF2AA2">
        <w:rPr>
          <w:rFonts w:ascii="Book Antiqua" w:hAnsi="Book Antiqua"/>
          <w:szCs w:val="24"/>
        </w:rPr>
        <w:t>enter’s wo</w:t>
      </w:r>
      <w:r>
        <w:rPr>
          <w:rFonts w:ascii="Book Antiqua" w:hAnsi="Book Antiqua"/>
          <w:szCs w:val="24"/>
        </w:rPr>
        <w:t>rkforce has violated the HIPAA p</w:t>
      </w:r>
      <w:r w:rsidR="00661200" w:rsidRPr="00FF2AA2">
        <w:rPr>
          <w:rFonts w:ascii="Book Antiqua" w:hAnsi="Book Antiqua"/>
          <w:szCs w:val="24"/>
        </w:rPr>
        <w:t xml:space="preserve">rivacy </w:t>
      </w:r>
      <w:r>
        <w:rPr>
          <w:rFonts w:ascii="Book Antiqua" w:hAnsi="Book Antiqua"/>
          <w:szCs w:val="24"/>
        </w:rPr>
        <w:t>rule, or the center’s HIPAA policies and p</w:t>
      </w:r>
      <w:r w:rsidR="00661200" w:rsidRPr="00FF2AA2">
        <w:rPr>
          <w:rFonts w:ascii="Book Antiqua" w:hAnsi="Book Antiqua"/>
          <w:szCs w:val="24"/>
        </w:rPr>
        <w:t xml:space="preserve">rocedures.  </w:t>
      </w:r>
    </w:p>
    <w:p w:rsidR="00E03D35" w:rsidRPr="00FF2AA2" w:rsidRDefault="00E03D35" w:rsidP="00E03D35">
      <w:pPr>
        <w:pStyle w:val="BodyText"/>
        <w:spacing w:after="0"/>
        <w:ind w:left="1800"/>
        <w:jc w:val="both"/>
        <w:rPr>
          <w:rFonts w:ascii="Book Antiqua" w:hAnsi="Book Antiqua"/>
          <w:szCs w:val="24"/>
        </w:rPr>
      </w:pPr>
    </w:p>
    <w:p w:rsidR="00661200" w:rsidRPr="00FF2AA2" w:rsidRDefault="00E03D35" w:rsidP="00F97E91">
      <w:pPr>
        <w:pStyle w:val="ListParagraph"/>
        <w:numPr>
          <w:ilvl w:val="0"/>
          <w:numId w:val="3"/>
        </w:numPr>
        <w:jc w:val="both"/>
        <w:rPr>
          <w:rFonts w:ascii="Book Antiqua" w:hAnsi="Book Antiqua"/>
          <w:b/>
          <w:sz w:val="24"/>
          <w:szCs w:val="24"/>
        </w:rPr>
      </w:pPr>
      <w:r w:rsidRPr="00FF2AA2">
        <w:rPr>
          <w:rFonts w:ascii="Book Antiqua" w:hAnsi="Book Antiqua"/>
          <w:b/>
          <w:sz w:val="24"/>
          <w:szCs w:val="24"/>
          <w:u w:val="single"/>
        </w:rPr>
        <w:t>Key HIPAA Security Terms And Provisions</w:t>
      </w:r>
      <w:r w:rsidR="00661200" w:rsidRPr="00FF2AA2">
        <w:rPr>
          <w:rStyle w:val="FootnoteReference"/>
          <w:rFonts w:ascii="Book Antiqua" w:hAnsi="Book Antiqua"/>
          <w:b/>
          <w:sz w:val="24"/>
          <w:szCs w:val="24"/>
        </w:rPr>
        <w:footnoteReference w:id="10"/>
      </w:r>
    </w:p>
    <w:p w:rsidR="00F97E91" w:rsidRPr="00FF2AA2" w:rsidRDefault="00F97E91" w:rsidP="00F97E91">
      <w:pPr>
        <w:pStyle w:val="ListParagraph"/>
        <w:jc w:val="both"/>
        <w:rPr>
          <w:rFonts w:ascii="Book Antiqua" w:hAnsi="Book Antiqua"/>
          <w:b/>
          <w:sz w:val="24"/>
          <w:szCs w:val="24"/>
        </w:rPr>
      </w:pPr>
    </w:p>
    <w:p w:rsidR="00F97E91" w:rsidRPr="00FF2AA2" w:rsidRDefault="00661200" w:rsidP="00F97E91">
      <w:pPr>
        <w:pStyle w:val="BodyText2"/>
        <w:numPr>
          <w:ilvl w:val="0"/>
          <w:numId w:val="7"/>
        </w:numPr>
        <w:spacing w:after="0"/>
        <w:jc w:val="both"/>
        <w:rPr>
          <w:rFonts w:ascii="Book Antiqua" w:hAnsi="Book Antiqua"/>
        </w:rPr>
      </w:pPr>
      <w:r w:rsidRPr="00FF2AA2">
        <w:rPr>
          <w:rFonts w:ascii="Book Antiqua" w:hAnsi="Book Antiqua"/>
          <w:b/>
        </w:rPr>
        <w:t>Core Goals</w:t>
      </w:r>
      <w:r w:rsidR="00F97E91" w:rsidRPr="00FF2AA2">
        <w:rPr>
          <w:rFonts w:ascii="Book Antiqua" w:hAnsi="Book Antiqua"/>
        </w:rPr>
        <w:t xml:space="preserve">. </w:t>
      </w:r>
      <w:r w:rsidRPr="00FF2AA2">
        <w:rPr>
          <w:rFonts w:ascii="Book Antiqua" w:hAnsi="Book Antiqua"/>
        </w:rPr>
        <w:t>The HIPAA Security Rule ensures the confidentiality, integrity, and a</w:t>
      </w:r>
      <w:r w:rsidR="00F566F6">
        <w:rPr>
          <w:rFonts w:ascii="Book Antiqua" w:hAnsi="Book Antiqua"/>
        </w:rPr>
        <w:t>vailability of electronic PHI (</w:t>
      </w:r>
      <w:proofErr w:type="spellStart"/>
      <w:r w:rsidR="00F566F6">
        <w:rPr>
          <w:rFonts w:ascii="Book Antiqua" w:hAnsi="Book Antiqua"/>
        </w:rPr>
        <w:t>ePHI</w:t>
      </w:r>
      <w:proofErr w:type="spellEnd"/>
      <w:r w:rsidRPr="00FF2AA2">
        <w:rPr>
          <w:rFonts w:ascii="Book Antiqua" w:hAnsi="Book Antiqua"/>
        </w:rPr>
        <w:t>) created, received, maintained, or trans</w:t>
      </w:r>
      <w:r w:rsidR="00F566F6">
        <w:rPr>
          <w:rFonts w:ascii="Book Antiqua" w:hAnsi="Book Antiqua"/>
        </w:rPr>
        <w:t>mitted by covered e</w:t>
      </w:r>
      <w:r w:rsidRPr="00FF2AA2">
        <w:rPr>
          <w:rFonts w:ascii="Book Antiqua" w:hAnsi="Book Antiqua"/>
        </w:rPr>
        <w:t xml:space="preserve">ntities. The HIPAA Security Rule seeks to protect against reasonably anticipated threats and hazards to the security or integrity of </w:t>
      </w:r>
      <w:proofErr w:type="spellStart"/>
      <w:r w:rsidRPr="00FF2AA2">
        <w:rPr>
          <w:rFonts w:ascii="Book Antiqua" w:hAnsi="Book Antiqua"/>
        </w:rPr>
        <w:t>ePHI</w:t>
      </w:r>
      <w:proofErr w:type="spellEnd"/>
      <w:r w:rsidRPr="00FF2AA2">
        <w:rPr>
          <w:rFonts w:ascii="Book Antiqua" w:hAnsi="Book Antiqua"/>
        </w:rPr>
        <w:t xml:space="preserve"> through a set of required and addressable (i.e., recommended) administrative, technical, and physical safeguards.  The HIPAA Security Rule protects against privacy violations.</w:t>
      </w:r>
    </w:p>
    <w:p w:rsidR="00F97E91" w:rsidRPr="00FF2AA2" w:rsidRDefault="00F97E91" w:rsidP="00F97E91">
      <w:pPr>
        <w:pStyle w:val="BodyText2"/>
        <w:spacing w:after="0"/>
        <w:ind w:left="1080" w:firstLine="0"/>
        <w:jc w:val="both"/>
        <w:rPr>
          <w:rFonts w:ascii="Book Antiqua" w:hAnsi="Book Antiqua"/>
        </w:rPr>
      </w:pPr>
    </w:p>
    <w:p w:rsidR="00661200" w:rsidRPr="00FF2AA2" w:rsidRDefault="00661200" w:rsidP="00F97E91">
      <w:pPr>
        <w:pStyle w:val="BodyText2"/>
        <w:numPr>
          <w:ilvl w:val="0"/>
          <w:numId w:val="7"/>
        </w:numPr>
        <w:spacing w:after="0"/>
        <w:jc w:val="both"/>
        <w:rPr>
          <w:rFonts w:ascii="Book Antiqua" w:hAnsi="Book Antiqua"/>
        </w:rPr>
      </w:pPr>
      <w:r w:rsidRPr="00FF2AA2">
        <w:rPr>
          <w:rFonts w:ascii="Book Antiqua" w:hAnsi="Book Antiqua"/>
          <w:b/>
        </w:rPr>
        <w:t>General Framework.</w:t>
      </w:r>
      <w:r w:rsidR="00F97E91" w:rsidRPr="00FF2AA2">
        <w:rPr>
          <w:rFonts w:ascii="Book Antiqua" w:hAnsi="Book Antiqua"/>
        </w:rPr>
        <w:t xml:space="preserve"> </w:t>
      </w:r>
      <w:r w:rsidRPr="00FF2AA2">
        <w:rPr>
          <w:rFonts w:ascii="Book Antiqua" w:hAnsi="Book Antiqua"/>
        </w:rPr>
        <w:t>The HIPAA Security Rule requir</w:t>
      </w:r>
      <w:r w:rsidR="00F566F6">
        <w:rPr>
          <w:rFonts w:ascii="Book Antiqua" w:hAnsi="Book Antiqua"/>
        </w:rPr>
        <w:t>es covered entities, including c</w:t>
      </w:r>
      <w:r w:rsidRPr="00FF2AA2">
        <w:rPr>
          <w:rFonts w:ascii="Book Antiqua" w:hAnsi="Book Antiqua"/>
        </w:rPr>
        <w:t>enters, to develop and implement policies and procedures</w:t>
      </w:r>
      <w:r w:rsidR="00F566F6">
        <w:rPr>
          <w:rFonts w:ascii="Book Antiqua" w:hAnsi="Book Antiqua"/>
        </w:rPr>
        <w:t xml:space="preserve"> addressing various standards.</w:t>
      </w:r>
      <w:r w:rsidR="00D22BA6">
        <w:rPr>
          <w:rFonts w:ascii="Book Antiqua" w:hAnsi="Book Antiqua"/>
        </w:rPr>
        <w:t xml:space="preserve"> </w:t>
      </w:r>
      <w:r w:rsidRPr="00FF2AA2">
        <w:rPr>
          <w:rFonts w:ascii="Book Antiqua" w:hAnsi="Book Antiqua"/>
        </w:rPr>
        <w:t>Some standards and implementation specifications are required (R), whi</w:t>
      </w:r>
      <w:r w:rsidR="00F566F6">
        <w:rPr>
          <w:rFonts w:ascii="Book Antiqua" w:hAnsi="Book Antiqua"/>
        </w:rPr>
        <w:t xml:space="preserve">le others are addressable (A). </w:t>
      </w:r>
      <w:r w:rsidRPr="00FF2AA2">
        <w:rPr>
          <w:rFonts w:ascii="Book Antiqua" w:hAnsi="Book Antiqua"/>
        </w:rPr>
        <w:t>R</w:t>
      </w:r>
      <w:r w:rsidR="00F566F6">
        <w:rPr>
          <w:rFonts w:ascii="Book Antiqua" w:hAnsi="Book Antiqua"/>
        </w:rPr>
        <w:t xml:space="preserve">equired actions must be taken. </w:t>
      </w:r>
      <w:r w:rsidRPr="00FF2AA2">
        <w:rPr>
          <w:rFonts w:ascii="Book Antiqua" w:hAnsi="Book Antiqua"/>
        </w:rPr>
        <w:t xml:space="preserve">Addressable actions must be evaluated, in terms of whether they make sense in the entity’s environment, and the entity may either implement them or document the reasoning as to why they were not needed.  </w:t>
      </w:r>
    </w:p>
    <w:p w:rsidR="00661200" w:rsidRPr="00FF2AA2" w:rsidRDefault="00661200" w:rsidP="00F97E91">
      <w:pPr>
        <w:pStyle w:val="BodyText2"/>
        <w:numPr>
          <w:ilvl w:val="0"/>
          <w:numId w:val="7"/>
        </w:numPr>
        <w:spacing w:after="0"/>
        <w:jc w:val="both"/>
        <w:rPr>
          <w:rFonts w:ascii="Book Antiqua" w:hAnsi="Book Antiqua"/>
          <w:b/>
        </w:rPr>
      </w:pPr>
      <w:r w:rsidRPr="00FF2AA2">
        <w:rPr>
          <w:rFonts w:ascii="Book Antiqua" w:hAnsi="Book Antiqua"/>
          <w:b/>
        </w:rPr>
        <w:lastRenderedPageBreak/>
        <w:t>Administrative Safeguards</w:t>
      </w:r>
    </w:p>
    <w:p w:rsidR="00F97E91" w:rsidRPr="00FF2AA2" w:rsidRDefault="00F566F6" w:rsidP="00F97E91">
      <w:pPr>
        <w:pStyle w:val="BodyText2"/>
        <w:numPr>
          <w:ilvl w:val="1"/>
          <w:numId w:val="7"/>
        </w:numPr>
        <w:spacing w:after="0"/>
        <w:jc w:val="both"/>
        <w:rPr>
          <w:rFonts w:ascii="Book Antiqua" w:hAnsi="Book Antiqua"/>
        </w:rPr>
      </w:pPr>
      <w:r>
        <w:rPr>
          <w:rFonts w:ascii="Book Antiqua" w:hAnsi="Book Antiqua"/>
        </w:rPr>
        <w:t>Designated responsibility. D</w:t>
      </w:r>
      <w:r w:rsidR="00661200" w:rsidRPr="00FF2AA2">
        <w:rPr>
          <w:rFonts w:ascii="Book Antiqua" w:hAnsi="Book Antiqua"/>
        </w:rPr>
        <w:t xml:space="preserve">esignate Information Security Officer (who may be the same as a Privacy Officer) to develop, implement, monitor, and enforce </w:t>
      </w:r>
      <w:r>
        <w:rPr>
          <w:rFonts w:ascii="Book Antiqua" w:hAnsi="Book Antiqua"/>
        </w:rPr>
        <w:t>the center’s s</w:t>
      </w:r>
      <w:r w:rsidR="00661200" w:rsidRPr="00FF2AA2">
        <w:rPr>
          <w:rFonts w:ascii="Book Antiqua" w:hAnsi="Book Antiqua"/>
        </w:rPr>
        <w:t xml:space="preserve">ecurity </w:t>
      </w:r>
      <w:r>
        <w:rPr>
          <w:rFonts w:ascii="Book Antiqua" w:hAnsi="Book Antiqua"/>
        </w:rPr>
        <w:t>p</w:t>
      </w:r>
      <w:r w:rsidR="00661200" w:rsidRPr="00FF2AA2">
        <w:rPr>
          <w:rFonts w:ascii="Book Antiqua" w:hAnsi="Book Antiqua"/>
        </w:rPr>
        <w:t xml:space="preserve">olicies and </w:t>
      </w:r>
      <w:r>
        <w:rPr>
          <w:rFonts w:ascii="Book Antiqua" w:hAnsi="Book Antiqua"/>
        </w:rPr>
        <w:t>p</w:t>
      </w:r>
      <w:r w:rsidR="00661200" w:rsidRPr="00FF2AA2">
        <w:rPr>
          <w:rFonts w:ascii="Book Antiqua" w:hAnsi="Book Antiqua"/>
        </w:rPr>
        <w:t>rocedures (R).</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Security management. P</w:t>
      </w:r>
      <w:r w:rsidR="00661200" w:rsidRPr="00FF2AA2">
        <w:rPr>
          <w:rFonts w:ascii="Book Antiqua" w:hAnsi="Book Antiqua"/>
        </w:rPr>
        <w:t>revent, detect, contain, and correct security violations (e.g., risk analysis (R), risk management (R), sanction policy (R), activity review (R)).</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Workforce security. E</w:t>
      </w:r>
      <w:r w:rsidR="00661200" w:rsidRPr="00FF2AA2">
        <w:rPr>
          <w:rFonts w:ascii="Book Antiqua" w:hAnsi="Book Antiqua"/>
        </w:rPr>
        <w:t xml:space="preserve">nsure workforce has appropriate access to </w:t>
      </w:r>
      <w:proofErr w:type="spellStart"/>
      <w:r w:rsidR="00661200" w:rsidRPr="00FF2AA2">
        <w:rPr>
          <w:rFonts w:ascii="Book Antiqua" w:hAnsi="Book Antiqua"/>
        </w:rPr>
        <w:t>ePHI</w:t>
      </w:r>
      <w:proofErr w:type="spellEnd"/>
      <w:r w:rsidR="00661200" w:rsidRPr="00FF2AA2">
        <w:rPr>
          <w:rFonts w:ascii="Book Antiqua" w:hAnsi="Book Antiqua"/>
        </w:rPr>
        <w:t xml:space="preserve"> and prevent those without access from obtaining </w:t>
      </w:r>
      <w:proofErr w:type="spellStart"/>
      <w:r w:rsidR="00661200" w:rsidRPr="00FF2AA2">
        <w:rPr>
          <w:rFonts w:ascii="Book Antiqua" w:hAnsi="Book Antiqua"/>
        </w:rPr>
        <w:t>ePHI</w:t>
      </w:r>
      <w:proofErr w:type="spellEnd"/>
      <w:r w:rsidR="00661200" w:rsidRPr="00FF2AA2">
        <w:rPr>
          <w:rFonts w:ascii="Book Antiqua" w:hAnsi="Book Antiqua"/>
        </w:rPr>
        <w:t xml:space="preserve"> (e.g., authorization/supervision (A), workforce clearance procedures (A), termination procedures (A)).</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Information management. A</w:t>
      </w:r>
      <w:r w:rsidR="00661200" w:rsidRPr="00FF2AA2">
        <w:rPr>
          <w:rFonts w:ascii="Book Antiqua" w:hAnsi="Book Antiqua"/>
        </w:rPr>
        <w:t xml:space="preserve">uthorize access to </w:t>
      </w:r>
      <w:proofErr w:type="spellStart"/>
      <w:r w:rsidR="00661200" w:rsidRPr="00FF2AA2">
        <w:rPr>
          <w:rFonts w:ascii="Book Antiqua" w:hAnsi="Book Antiqua"/>
        </w:rPr>
        <w:t>ePHI</w:t>
      </w:r>
      <w:proofErr w:type="spellEnd"/>
      <w:r w:rsidR="00661200" w:rsidRPr="00FF2AA2">
        <w:rPr>
          <w:rFonts w:ascii="Book Antiqua" w:hAnsi="Book Antiqua"/>
        </w:rPr>
        <w:t xml:space="preserve"> (e.g., access authorization (A), access establishment and modification (A)).</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Security awareness. T</w:t>
      </w:r>
      <w:r w:rsidR="00661200" w:rsidRPr="00FF2AA2">
        <w:rPr>
          <w:rFonts w:ascii="Book Antiqua" w:hAnsi="Book Antiqua"/>
        </w:rPr>
        <w:t xml:space="preserve">rain all members of workforce (e.g., security reminders (A), protection from malicious software (A), log-in monitoring (A), </w:t>
      </w:r>
      <w:proofErr w:type="gramStart"/>
      <w:r w:rsidR="00661200" w:rsidRPr="00FF2AA2">
        <w:rPr>
          <w:rFonts w:ascii="Book Antiqua" w:hAnsi="Book Antiqua"/>
        </w:rPr>
        <w:t>password</w:t>
      </w:r>
      <w:proofErr w:type="gramEnd"/>
      <w:r w:rsidR="00661200" w:rsidRPr="00FF2AA2">
        <w:rPr>
          <w:rFonts w:ascii="Book Antiqua" w:hAnsi="Book Antiqua"/>
        </w:rPr>
        <w:t xml:space="preserve"> management (A)).</w:t>
      </w:r>
    </w:p>
    <w:p w:rsidR="00661200" w:rsidRPr="00FF2AA2" w:rsidRDefault="00661200" w:rsidP="00F97E91">
      <w:pPr>
        <w:pStyle w:val="BodyText2"/>
        <w:numPr>
          <w:ilvl w:val="1"/>
          <w:numId w:val="7"/>
        </w:numPr>
        <w:spacing w:after="0"/>
        <w:jc w:val="both"/>
        <w:rPr>
          <w:rFonts w:ascii="Book Antiqua" w:hAnsi="Book Antiqua"/>
        </w:rPr>
      </w:pPr>
      <w:r w:rsidRPr="00FF2AA2">
        <w:rPr>
          <w:rFonts w:ascii="Book Antiqua" w:hAnsi="Book Antiqua"/>
        </w:rPr>
        <w:t>Security incident proce</w:t>
      </w:r>
      <w:r w:rsidR="00F566F6">
        <w:rPr>
          <w:rFonts w:ascii="Book Antiqua" w:hAnsi="Book Antiqua"/>
        </w:rPr>
        <w:t>dures. I</w:t>
      </w:r>
      <w:r w:rsidRPr="00FF2AA2">
        <w:rPr>
          <w:rFonts w:ascii="Book Antiqua" w:hAnsi="Book Antiqua"/>
        </w:rPr>
        <w:t>dentify and respond to security incidents (R), mitigating harmful effects (R).</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Contingency plan. P</w:t>
      </w:r>
      <w:r w:rsidR="00661200" w:rsidRPr="00FF2AA2">
        <w:rPr>
          <w:rFonts w:ascii="Book Antiqua" w:hAnsi="Book Antiqua"/>
        </w:rPr>
        <w:t xml:space="preserve">rocedures for responding to an emergency or other occurrence that damages systems containing </w:t>
      </w:r>
      <w:proofErr w:type="spellStart"/>
      <w:r w:rsidR="00661200" w:rsidRPr="00FF2AA2">
        <w:rPr>
          <w:rFonts w:ascii="Book Antiqua" w:hAnsi="Book Antiqua"/>
        </w:rPr>
        <w:t>ePHI</w:t>
      </w:r>
      <w:proofErr w:type="spellEnd"/>
      <w:r w:rsidR="00661200" w:rsidRPr="00FF2AA2">
        <w:rPr>
          <w:rFonts w:ascii="Book Antiqua" w:hAnsi="Book Antiqua"/>
        </w:rPr>
        <w:t xml:space="preserve"> (e.g., data backup plan (R), disaster recovery plan (R), emergency mode operation plan (R), testing and revision procedures (A), applications and data criticality analysis (A)).</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Evaluation. P</w:t>
      </w:r>
      <w:r w:rsidR="00661200" w:rsidRPr="00FF2AA2">
        <w:rPr>
          <w:rFonts w:ascii="Book Antiqua" w:hAnsi="Book Antiqua"/>
        </w:rPr>
        <w:t>erform periodic technical and non-technical evaluations (R).</w:t>
      </w:r>
    </w:p>
    <w:p w:rsidR="00F97E91" w:rsidRPr="00FF2AA2" w:rsidRDefault="00F97E91" w:rsidP="00F97E91">
      <w:pPr>
        <w:pStyle w:val="BodyText2"/>
        <w:spacing w:after="0"/>
        <w:ind w:left="1800" w:firstLine="0"/>
        <w:jc w:val="both"/>
        <w:rPr>
          <w:rFonts w:ascii="Book Antiqua" w:hAnsi="Book Antiqua"/>
        </w:rPr>
      </w:pPr>
    </w:p>
    <w:p w:rsidR="00661200" w:rsidRPr="00FF2AA2" w:rsidRDefault="00661200" w:rsidP="00F97E91">
      <w:pPr>
        <w:pStyle w:val="BodyText2"/>
        <w:numPr>
          <w:ilvl w:val="0"/>
          <w:numId w:val="7"/>
        </w:numPr>
        <w:spacing w:after="0"/>
        <w:jc w:val="both"/>
        <w:rPr>
          <w:rFonts w:ascii="Book Antiqua" w:hAnsi="Book Antiqua"/>
          <w:b/>
        </w:rPr>
      </w:pPr>
      <w:r w:rsidRPr="00FF2AA2">
        <w:rPr>
          <w:rFonts w:ascii="Book Antiqua" w:hAnsi="Book Antiqua"/>
          <w:b/>
        </w:rPr>
        <w:t>Technical Safeguards</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Access control. S</w:t>
      </w:r>
      <w:r w:rsidR="00661200" w:rsidRPr="00FF2AA2">
        <w:rPr>
          <w:rFonts w:ascii="Book Antiqua" w:hAnsi="Book Antiqua"/>
        </w:rPr>
        <w:t xml:space="preserve">ystems that maintain </w:t>
      </w:r>
      <w:proofErr w:type="spellStart"/>
      <w:r w:rsidR="00661200" w:rsidRPr="00FF2AA2">
        <w:rPr>
          <w:rFonts w:ascii="Book Antiqua" w:hAnsi="Book Antiqua"/>
        </w:rPr>
        <w:t>ePHI</w:t>
      </w:r>
      <w:proofErr w:type="spellEnd"/>
      <w:r w:rsidR="00661200" w:rsidRPr="00FF2AA2">
        <w:rPr>
          <w:rFonts w:ascii="Book Antiqua" w:hAnsi="Book Antiqua"/>
        </w:rPr>
        <w:t xml:space="preserve"> should allow access only to those persons or programs that have been granted access (e.g., unique user identification (R), emergency access procedure (R), automatic log-off (A), encryption and decryption (A)).</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Audit controls. I</w:t>
      </w:r>
      <w:r w:rsidR="00661200" w:rsidRPr="00FF2AA2">
        <w:rPr>
          <w:rFonts w:ascii="Book Antiqua" w:hAnsi="Book Antiqua"/>
        </w:rPr>
        <w:t xml:space="preserve">mplement hardware, software, and/or procedural mechanisms that record and examine activity in systems that contain or use </w:t>
      </w:r>
      <w:proofErr w:type="spellStart"/>
      <w:r w:rsidR="00661200" w:rsidRPr="00FF2AA2">
        <w:rPr>
          <w:rFonts w:ascii="Book Antiqua" w:hAnsi="Book Antiqua"/>
        </w:rPr>
        <w:t>ePHI</w:t>
      </w:r>
      <w:proofErr w:type="spellEnd"/>
      <w:r w:rsidR="00661200" w:rsidRPr="00FF2AA2">
        <w:rPr>
          <w:rFonts w:ascii="Book Antiqua" w:hAnsi="Book Antiqua"/>
        </w:rPr>
        <w:t xml:space="preserve"> (R).</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Data integrity. P</w:t>
      </w:r>
      <w:r w:rsidR="00661200" w:rsidRPr="00FF2AA2">
        <w:rPr>
          <w:rFonts w:ascii="Book Antiqua" w:hAnsi="Book Antiqua"/>
        </w:rPr>
        <w:t xml:space="preserve">rotect </w:t>
      </w:r>
      <w:proofErr w:type="spellStart"/>
      <w:r w:rsidR="00661200" w:rsidRPr="00FF2AA2">
        <w:rPr>
          <w:rFonts w:ascii="Book Antiqua" w:hAnsi="Book Antiqua"/>
        </w:rPr>
        <w:t>ePHI</w:t>
      </w:r>
      <w:proofErr w:type="spellEnd"/>
      <w:r w:rsidR="00661200" w:rsidRPr="00FF2AA2">
        <w:rPr>
          <w:rFonts w:ascii="Book Antiqua" w:hAnsi="Book Antiqua"/>
        </w:rPr>
        <w:t xml:space="preserve"> from improper alteration or destruction (e.g., authentication mechanisms (A)).</w:t>
      </w:r>
    </w:p>
    <w:p w:rsidR="00661200" w:rsidRPr="00FF2AA2" w:rsidRDefault="00661200" w:rsidP="00F97E91">
      <w:pPr>
        <w:pStyle w:val="BodyText2"/>
        <w:numPr>
          <w:ilvl w:val="1"/>
          <w:numId w:val="7"/>
        </w:numPr>
        <w:spacing w:after="0"/>
        <w:jc w:val="both"/>
        <w:rPr>
          <w:rFonts w:ascii="Book Antiqua" w:hAnsi="Book Antiqua"/>
        </w:rPr>
      </w:pPr>
      <w:r w:rsidRPr="00FF2AA2">
        <w:rPr>
          <w:rFonts w:ascii="Book Antiqua" w:hAnsi="Book Antiqua"/>
        </w:rPr>
        <w:t>Person or entity authenticatio</w:t>
      </w:r>
      <w:r w:rsidR="00F566F6">
        <w:rPr>
          <w:rFonts w:ascii="Book Antiqua" w:hAnsi="Book Antiqua"/>
        </w:rPr>
        <w:t>n. V</w:t>
      </w:r>
      <w:r w:rsidRPr="00FF2AA2">
        <w:rPr>
          <w:rFonts w:ascii="Book Antiqua" w:hAnsi="Book Antiqua"/>
        </w:rPr>
        <w:t xml:space="preserve">erify that person or entity seeking access to </w:t>
      </w:r>
      <w:proofErr w:type="spellStart"/>
      <w:r w:rsidRPr="00FF2AA2">
        <w:rPr>
          <w:rFonts w:ascii="Book Antiqua" w:hAnsi="Book Antiqua"/>
        </w:rPr>
        <w:t>ePHI</w:t>
      </w:r>
      <w:proofErr w:type="spellEnd"/>
      <w:r w:rsidRPr="00FF2AA2">
        <w:rPr>
          <w:rFonts w:ascii="Book Antiqua" w:hAnsi="Book Antiqua"/>
        </w:rPr>
        <w:t xml:space="preserve"> has valid identity (R).</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Transmission security. G</w:t>
      </w:r>
      <w:r w:rsidR="00661200" w:rsidRPr="00FF2AA2">
        <w:rPr>
          <w:rFonts w:ascii="Book Antiqua" w:hAnsi="Book Antiqua"/>
        </w:rPr>
        <w:t xml:space="preserve">uard against unauthorized access to </w:t>
      </w:r>
      <w:proofErr w:type="spellStart"/>
      <w:r w:rsidR="00661200" w:rsidRPr="00FF2AA2">
        <w:rPr>
          <w:rFonts w:ascii="Book Antiqua" w:hAnsi="Book Antiqua"/>
        </w:rPr>
        <w:t>ePHI</w:t>
      </w:r>
      <w:proofErr w:type="spellEnd"/>
      <w:r w:rsidR="00661200" w:rsidRPr="00FF2AA2">
        <w:rPr>
          <w:rFonts w:ascii="Book Antiqua" w:hAnsi="Book Antiqua"/>
        </w:rPr>
        <w:t xml:space="preserve"> that is being transmitted electronically (e.g., integrity controls (A), encryption (A)).</w:t>
      </w:r>
    </w:p>
    <w:p w:rsidR="00F97E91" w:rsidRPr="00FF2AA2" w:rsidRDefault="00F97E91" w:rsidP="00F97E91">
      <w:pPr>
        <w:pStyle w:val="BodyText2"/>
        <w:spacing w:after="0"/>
        <w:ind w:left="1800" w:firstLine="0"/>
        <w:jc w:val="both"/>
        <w:rPr>
          <w:rFonts w:ascii="Book Antiqua" w:hAnsi="Book Antiqua"/>
        </w:rPr>
      </w:pPr>
    </w:p>
    <w:p w:rsidR="00661200" w:rsidRPr="00FF2AA2" w:rsidRDefault="00661200" w:rsidP="00F97E91">
      <w:pPr>
        <w:pStyle w:val="BodyText2"/>
        <w:numPr>
          <w:ilvl w:val="0"/>
          <w:numId w:val="7"/>
        </w:numPr>
        <w:spacing w:after="0"/>
        <w:jc w:val="both"/>
        <w:rPr>
          <w:rFonts w:ascii="Book Antiqua" w:hAnsi="Book Antiqua"/>
          <w:b/>
        </w:rPr>
      </w:pPr>
      <w:r w:rsidRPr="00FF2AA2">
        <w:rPr>
          <w:rFonts w:ascii="Book Antiqua" w:hAnsi="Book Antiqua"/>
          <w:b/>
        </w:rPr>
        <w:t xml:space="preserve">Physical Safeguards  </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lastRenderedPageBreak/>
        <w:t>Facility access controls. L</w:t>
      </w:r>
      <w:r w:rsidR="00661200" w:rsidRPr="00FF2AA2">
        <w:rPr>
          <w:rFonts w:ascii="Book Antiqua" w:hAnsi="Book Antiqua"/>
        </w:rPr>
        <w:t>imit physical access to electronic information systems and facilities housing such systems (e.g., contingency operations (A), facility security plan (A), access control and validation procedures (A), maintenance records (A)).</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Workstation use. S</w:t>
      </w:r>
      <w:r w:rsidR="00661200" w:rsidRPr="00FF2AA2">
        <w:rPr>
          <w:rFonts w:ascii="Book Antiqua" w:hAnsi="Book Antiqua"/>
        </w:rPr>
        <w:t>pecify proper functions to be performed at a workstation (includes laptops, desktops, PDAs, etc.) (R).</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Workstation security. I</w:t>
      </w:r>
      <w:r w:rsidR="00661200" w:rsidRPr="00FF2AA2">
        <w:rPr>
          <w:rFonts w:ascii="Book Antiqua" w:hAnsi="Book Antiqua"/>
        </w:rPr>
        <w:t xml:space="preserve">mplement safeguards to restrict access to authorized users (R). </w:t>
      </w:r>
    </w:p>
    <w:p w:rsidR="00661200" w:rsidRPr="00FF2AA2" w:rsidRDefault="00F566F6" w:rsidP="00F97E91">
      <w:pPr>
        <w:pStyle w:val="BodyText2"/>
        <w:numPr>
          <w:ilvl w:val="1"/>
          <w:numId w:val="7"/>
        </w:numPr>
        <w:spacing w:after="0"/>
        <w:jc w:val="both"/>
        <w:rPr>
          <w:rFonts w:ascii="Book Antiqua" w:hAnsi="Book Antiqua"/>
        </w:rPr>
      </w:pPr>
      <w:r>
        <w:rPr>
          <w:rFonts w:ascii="Book Antiqua" w:hAnsi="Book Antiqua"/>
        </w:rPr>
        <w:t>Device and media controls. P</w:t>
      </w:r>
      <w:r w:rsidR="00661200" w:rsidRPr="00FF2AA2">
        <w:rPr>
          <w:rFonts w:ascii="Book Antiqua" w:hAnsi="Book Antiqua"/>
        </w:rPr>
        <w:t xml:space="preserve">olicies and procedures governing receipt and removal of hardware and electronic media with </w:t>
      </w:r>
      <w:proofErr w:type="spellStart"/>
      <w:r w:rsidR="00661200" w:rsidRPr="00FF2AA2">
        <w:rPr>
          <w:rFonts w:ascii="Book Antiqua" w:hAnsi="Book Antiqua"/>
        </w:rPr>
        <w:t>ePHI</w:t>
      </w:r>
      <w:proofErr w:type="spellEnd"/>
      <w:r w:rsidR="00661200" w:rsidRPr="00FF2AA2">
        <w:rPr>
          <w:rFonts w:ascii="Book Antiqua" w:hAnsi="Book Antiqua"/>
        </w:rPr>
        <w:t xml:space="preserve"> from facility, and movement of these items within facility (e.g., disposal (R), media re-use (R), accountability (A), data backup and storage (A)).</w:t>
      </w:r>
    </w:p>
    <w:p w:rsidR="00F97E91" w:rsidRPr="00FF2AA2" w:rsidRDefault="00F97E91" w:rsidP="00F97E91">
      <w:pPr>
        <w:pStyle w:val="BodyText2"/>
        <w:spacing w:after="0"/>
        <w:ind w:left="1800" w:firstLine="0"/>
        <w:jc w:val="both"/>
        <w:rPr>
          <w:rFonts w:ascii="Book Antiqua" w:hAnsi="Book Antiqua"/>
        </w:rPr>
      </w:pPr>
    </w:p>
    <w:p w:rsidR="00661200" w:rsidRPr="00FF2AA2" w:rsidRDefault="00661200" w:rsidP="00F97E91">
      <w:pPr>
        <w:pStyle w:val="BodyText"/>
        <w:numPr>
          <w:ilvl w:val="0"/>
          <w:numId w:val="7"/>
        </w:numPr>
        <w:spacing w:after="0"/>
        <w:jc w:val="both"/>
        <w:rPr>
          <w:rFonts w:ascii="Book Antiqua" w:hAnsi="Book Antiqua"/>
          <w:szCs w:val="24"/>
        </w:rPr>
      </w:pPr>
      <w:r w:rsidRPr="00FF2AA2">
        <w:rPr>
          <w:rFonts w:ascii="Book Antiqua" w:hAnsi="Book Antiqua"/>
          <w:b/>
          <w:szCs w:val="24"/>
        </w:rPr>
        <w:t>Disciplinary Action.</w:t>
      </w:r>
      <w:r w:rsidR="00FF2AA2">
        <w:rPr>
          <w:rFonts w:ascii="Book Antiqua" w:hAnsi="Book Antiqua"/>
          <w:szCs w:val="24"/>
        </w:rPr>
        <w:t xml:space="preserve"> The c</w:t>
      </w:r>
      <w:r w:rsidRPr="00FF2AA2">
        <w:rPr>
          <w:rFonts w:ascii="Book Antiqua" w:hAnsi="Book Antiqua"/>
          <w:szCs w:val="24"/>
        </w:rPr>
        <w:t xml:space="preserve">enter must take appropriate disciplinary action if </w:t>
      </w:r>
      <w:r w:rsidR="00FF2AA2">
        <w:rPr>
          <w:rFonts w:ascii="Book Antiqua" w:hAnsi="Book Antiqua"/>
          <w:szCs w:val="24"/>
        </w:rPr>
        <w:t>it learns that a member of the c</w:t>
      </w:r>
      <w:r w:rsidRPr="00FF2AA2">
        <w:rPr>
          <w:rFonts w:ascii="Book Antiqua" w:hAnsi="Book Antiqua"/>
          <w:szCs w:val="24"/>
        </w:rPr>
        <w:t>enter’s wo</w:t>
      </w:r>
      <w:r w:rsidR="00D22BA6">
        <w:rPr>
          <w:rFonts w:ascii="Book Antiqua" w:hAnsi="Book Antiqua"/>
          <w:szCs w:val="24"/>
        </w:rPr>
        <w:t>rkforce has violated the HIPAA privacy r</w:t>
      </w:r>
      <w:r w:rsidRPr="00FF2AA2">
        <w:rPr>
          <w:rFonts w:ascii="Book Antiqua" w:hAnsi="Book Antiqua"/>
          <w:szCs w:val="24"/>
        </w:rPr>
        <w:t xml:space="preserve">ule, or the </w:t>
      </w:r>
      <w:r w:rsidR="00FF2AA2">
        <w:rPr>
          <w:rFonts w:ascii="Book Antiqua" w:hAnsi="Book Antiqua"/>
          <w:szCs w:val="24"/>
        </w:rPr>
        <w:t>c</w:t>
      </w:r>
      <w:r w:rsidR="00D22BA6">
        <w:rPr>
          <w:rFonts w:ascii="Book Antiqua" w:hAnsi="Book Antiqua"/>
          <w:szCs w:val="24"/>
        </w:rPr>
        <w:t>enter’s HIPAA policies and p</w:t>
      </w:r>
      <w:r w:rsidRPr="00FF2AA2">
        <w:rPr>
          <w:rFonts w:ascii="Book Antiqua" w:hAnsi="Book Antiqua"/>
          <w:szCs w:val="24"/>
        </w:rPr>
        <w:t xml:space="preserve">rocedures.  </w:t>
      </w:r>
    </w:p>
    <w:p w:rsidR="00F97E91" w:rsidRPr="00FF2AA2" w:rsidRDefault="00F97E91" w:rsidP="00F97E91">
      <w:pPr>
        <w:pStyle w:val="BodyText"/>
        <w:spacing w:after="0"/>
        <w:ind w:left="1080"/>
        <w:jc w:val="both"/>
        <w:rPr>
          <w:rFonts w:ascii="Book Antiqua" w:hAnsi="Book Antiqua"/>
          <w:szCs w:val="24"/>
        </w:rPr>
      </w:pPr>
    </w:p>
    <w:p w:rsidR="00661200" w:rsidRPr="00FF2AA2" w:rsidRDefault="00F97E91" w:rsidP="00F97E91">
      <w:pPr>
        <w:pStyle w:val="BodyText2"/>
        <w:numPr>
          <w:ilvl w:val="0"/>
          <w:numId w:val="3"/>
        </w:numPr>
        <w:spacing w:after="0"/>
        <w:jc w:val="both"/>
        <w:rPr>
          <w:rFonts w:ascii="Book Antiqua" w:hAnsi="Book Antiqua"/>
          <w:b/>
        </w:rPr>
      </w:pPr>
      <w:r w:rsidRPr="00FF2AA2">
        <w:rPr>
          <w:rFonts w:ascii="Book Antiqua" w:hAnsi="Book Antiqua"/>
          <w:b/>
          <w:u w:val="single"/>
        </w:rPr>
        <w:t>Key HIPAA Data Breach Notification Terms And Provisions</w:t>
      </w:r>
      <w:r w:rsidR="00661200" w:rsidRPr="00FF2AA2">
        <w:rPr>
          <w:rStyle w:val="FootnoteReference"/>
          <w:rFonts w:ascii="Book Antiqua" w:hAnsi="Book Antiqua"/>
          <w:b/>
        </w:rPr>
        <w:footnoteReference w:id="11"/>
      </w:r>
    </w:p>
    <w:p w:rsidR="00F97E91" w:rsidRPr="00FF2AA2" w:rsidRDefault="00F97E91" w:rsidP="00F97E91">
      <w:pPr>
        <w:pStyle w:val="BodyText2"/>
        <w:spacing w:after="0"/>
        <w:ind w:left="720" w:firstLine="0"/>
        <w:jc w:val="both"/>
        <w:rPr>
          <w:rFonts w:ascii="Book Antiqua" w:hAnsi="Book Antiqua"/>
          <w:b/>
        </w:rPr>
      </w:pPr>
    </w:p>
    <w:p w:rsidR="00F97E91" w:rsidRPr="00FF2AA2" w:rsidRDefault="00661200" w:rsidP="00F97E91">
      <w:pPr>
        <w:pStyle w:val="BodyText2"/>
        <w:numPr>
          <w:ilvl w:val="0"/>
          <w:numId w:val="8"/>
        </w:numPr>
        <w:spacing w:after="0"/>
        <w:jc w:val="both"/>
        <w:rPr>
          <w:rFonts w:ascii="Book Antiqua" w:hAnsi="Book Antiqua"/>
        </w:rPr>
      </w:pPr>
      <w:r w:rsidRPr="00FF2AA2">
        <w:rPr>
          <w:rFonts w:ascii="Book Antiqua" w:hAnsi="Book Antiqua"/>
          <w:b/>
        </w:rPr>
        <w:t>Breach.</w:t>
      </w:r>
      <w:r w:rsidRPr="00FF2AA2">
        <w:rPr>
          <w:rFonts w:ascii="Book Antiqua" w:hAnsi="Book Antiqua"/>
        </w:rPr>
        <w:t xml:space="preserve"> A breach means the acquisition, access, use, or disclosure of unsecured PHI in a manner not permitted by the HIPAA </w:t>
      </w:r>
      <w:r w:rsidR="00D22BA6">
        <w:rPr>
          <w:rFonts w:ascii="Book Antiqua" w:hAnsi="Book Antiqua"/>
        </w:rPr>
        <w:t>p</w:t>
      </w:r>
      <w:r w:rsidRPr="00FF2AA2">
        <w:rPr>
          <w:rFonts w:ascii="Book Antiqua" w:hAnsi="Book Antiqua"/>
        </w:rPr>
        <w:t xml:space="preserve">rivacy </w:t>
      </w:r>
      <w:r w:rsidR="00D22BA6">
        <w:rPr>
          <w:rFonts w:ascii="Book Antiqua" w:hAnsi="Book Antiqua"/>
        </w:rPr>
        <w:t>r</w:t>
      </w:r>
      <w:r w:rsidRPr="00FF2AA2">
        <w:rPr>
          <w:rFonts w:ascii="Book Antiqua" w:hAnsi="Book Antiqua"/>
        </w:rPr>
        <w:t>ule, which compromises the security or privacy of the PHI.</w:t>
      </w:r>
    </w:p>
    <w:p w:rsidR="00F97E91" w:rsidRPr="00FF2AA2" w:rsidRDefault="00F97E91" w:rsidP="00F97E91">
      <w:pPr>
        <w:pStyle w:val="BodyText2"/>
        <w:spacing w:after="0"/>
        <w:ind w:left="1080" w:firstLine="0"/>
        <w:jc w:val="both"/>
        <w:rPr>
          <w:rFonts w:ascii="Book Antiqua" w:hAnsi="Book Antiqua"/>
        </w:rPr>
      </w:pPr>
    </w:p>
    <w:p w:rsidR="00F97E91" w:rsidRPr="00FF2AA2" w:rsidRDefault="00661200" w:rsidP="00F97E91">
      <w:pPr>
        <w:pStyle w:val="BodyText2"/>
        <w:numPr>
          <w:ilvl w:val="0"/>
          <w:numId w:val="8"/>
        </w:numPr>
        <w:spacing w:after="0"/>
        <w:jc w:val="both"/>
        <w:rPr>
          <w:rFonts w:ascii="Book Antiqua" w:hAnsi="Book Antiqua"/>
        </w:rPr>
      </w:pPr>
      <w:r w:rsidRPr="00FF2AA2">
        <w:rPr>
          <w:rFonts w:ascii="Book Antiqua" w:hAnsi="Book Antiqua"/>
          <w:b/>
        </w:rPr>
        <w:t>Safe Harbor:</w:t>
      </w:r>
      <w:r w:rsidR="00F97E91" w:rsidRPr="00FF2AA2">
        <w:rPr>
          <w:rFonts w:ascii="Book Antiqua" w:hAnsi="Book Antiqua"/>
        </w:rPr>
        <w:t xml:space="preserve"> </w:t>
      </w:r>
      <w:r w:rsidRPr="00FF2AA2">
        <w:rPr>
          <w:rFonts w:ascii="Book Antiqua" w:hAnsi="Book Antiqua"/>
          <w:b/>
        </w:rPr>
        <w:t>Secured PHI</w:t>
      </w:r>
      <w:r w:rsidR="00FF2AA2">
        <w:rPr>
          <w:rFonts w:ascii="Book Antiqua" w:hAnsi="Book Antiqua"/>
        </w:rPr>
        <w:t xml:space="preserve">. </w:t>
      </w:r>
      <w:r w:rsidRPr="00FF2AA2">
        <w:rPr>
          <w:rFonts w:ascii="Book Antiqua" w:hAnsi="Book Antiqua"/>
        </w:rPr>
        <w:t>Importantly, the HHS breach notification requirements only apply to unsecured PHI.  Breaches involving data that has been secu</w:t>
      </w:r>
      <w:r w:rsidR="00D22BA6">
        <w:rPr>
          <w:rFonts w:ascii="Book Antiqua" w:hAnsi="Book Antiqua"/>
        </w:rPr>
        <w:t>red (</w:t>
      </w:r>
      <w:r w:rsidRPr="00FF2AA2">
        <w:rPr>
          <w:rFonts w:ascii="Book Antiqua" w:hAnsi="Book Antiqua"/>
        </w:rPr>
        <w:t>i.e., rendered unusable, unreadable, or indecipherable to unauthorized individuals through encryption or destruction, in the manner set forth by HHS</w:t>
      </w:r>
      <w:r w:rsidR="00D22BA6">
        <w:rPr>
          <w:rFonts w:ascii="Book Antiqua" w:hAnsi="Book Antiqua"/>
        </w:rPr>
        <w:t xml:space="preserve">) </w:t>
      </w:r>
      <w:r w:rsidRPr="00FF2AA2">
        <w:rPr>
          <w:rFonts w:ascii="Book Antiqua" w:hAnsi="Book Antiqua"/>
        </w:rPr>
        <w:t>are not subject to the notification requirement.</w:t>
      </w:r>
    </w:p>
    <w:p w:rsidR="00F97E91" w:rsidRPr="00FF2AA2" w:rsidRDefault="00F97E91" w:rsidP="00F97E91">
      <w:pPr>
        <w:pStyle w:val="BodyText2"/>
        <w:spacing w:after="0"/>
        <w:ind w:firstLine="0"/>
        <w:jc w:val="both"/>
        <w:rPr>
          <w:rFonts w:ascii="Book Antiqua" w:hAnsi="Book Antiqua"/>
        </w:rPr>
      </w:pPr>
    </w:p>
    <w:p w:rsidR="00661200" w:rsidRPr="00FF2AA2" w:rsidRDefault="00661200" w:rsidP="00F97E91">
      <w:pPr>
        <w:pStyle w:val="BodyText2"/>
        <w:numPr>
          <w:ilvl w:val="0"/>
          <w:numId w:val="8"/>
        </w:numPr>
        <w:spacing w:after="0"/>
        <w:jc w:val="both"/>
        <w:rPr>
          <w:rFonts w:ascii="Book Antiqua" w:hAnsi="Book Antiqua"/>
        </w:rPr>
      </w:pPr>
      <w:r w:rsidRPr="00FF2AA2">
        <w:rPr>
          <w:rFonts w:ascii="Book Antiqua" w:hAnsi="Book Antiqua"/>
          <w:b/>
        </w:rPr>
        <w:t>Harm Threshold.</w:t>
      </w:r>
      <w:r w:rsidRPr="00FF2AA2">
        <w:rPr>
          <w:rFonts w:ascii="Book Antiqua" w:hAnsi="Book Antiqua"/>
        </w:rPr>
        <w:t xml:space="preserve"> HHS in</w:t>
      </w:r>
      <w:r w:rsidR="00FF2AA2">
        <w:rPr>
          <w:rFonts w:ascii="Book Antiqua" w:hAnsi="Book Antiqua"/>
        </w:rPr>
        <w:t>terpreted the statute to allow covered e</w:t>
      </w:r>
      <w:r w:rsidRPr="00FF2AA2">
        <w:rPr>
          <w:rFonts w:ascii="Book Antiqua" w:hAnsi="Book Antiqua"/>
        </w:rPr>
        <w:t xml:space="preserve">ntities to forgo notification if they determine that an incident poses little or no risk of financial, reputational, or other harm to the individual whose PHI was </w:t>
      </w:r>
      <w:r w:rsidRPr="00FF2AA2">
        <w:rPr>
          <w:rFonts w:ascii="Book Antiqua" w:hAnsi="Book Antiqua"/>
        </w:rPr>
        <w:lastRenderedPageBreak/>
        <w:t xml:space="preserve">involved (i.e., in terms of the definition of breach, the incident did not compromise the security or privacy of the information).   </w:t>
      </w:r>
    </w:p>
    <w:p w:rsidR="00F97E91" w:rsidRPr="00FF2AA2" w:rsidRDefault="00F97E91" w:rsidP="00F97E91">
      <w:pPr>
        <w:pStyle w:val="BodyText2"/>
        <w:spacing w:after="0"/>
        <w:ind w:firstLine="0"/>
        <w:jc w:val="both"/>
        <w:rPr>
          <w:rFonts w:ascii="Book Antiqua" w:hAnsi="Book Antiqua"/>
        </w:rPr>
      </w:pPr>
    </w:p>
    <w:p w:rsidR="00F97E91" w:rsidRPr="00FF2AA2" w:rsidRDefault="00661200" w:rsidP="00F97E91">
      <w:pPr>
        <w:pStyle w:val="BodyText2"/>
        <w:numPr>
          <w:ilvl w:val="0"/>
          <w:numId w:val="8"/>
        </w:numPr>
        <w:spacing w:after="0"/>
        <w:jc w:val="both"/>
        <w:rPr>
          <w:rFonts w:ascii="Book Antiqua" w:hAnsi="Book Antiqua"/>
        </w:rPr>
      </w:pPr>
      <w:r w:rsidRPr="00FF2AA2">
        <w:rPr>
          <w:rFonts w:ascii="Book Antiqua" w:hAnsi="Book Antiqua"/>
          <w:b/>
        </w:rPr>
        <w:t>Risk Assessment.</w:t>
      </w:r>
      <w:r w:rsidRPr="00FF2AA2">
        <w:rPr>
          <w:rFonts w:ascii="Book Antiqua" w:hAnsi="Book Antiqua"/>
        </w:rPr>
        <w:t xml:space="preserve"> Under this standard, the </w:t>
      </w:r>
      <w:r w:rsidR="00FF2AA2">
        <w:rPr>
          <w:rFonts w:ascii="Book Antiqua" w:hAnsi="Book Antiqua"/>
        </w:rPr>
        <w:t>c</w:t>
      </w:r>
      <w:r w:rsidRPr="00FF2AA2">
        <w:rPr>
          <w:rFonts w:ascii="Book Antiqua" w:hAnsi="Book Antiqua"/>
        </w:rPr>
        <w:t xml:space="preserve">enter must perform a fact-specific risk assessment to determine whether a breach occurred.  The </w:t>
      </w:r>
      <w:r w:rsidR="00FF2AA2">
        <w:rPr>
          <w:rFonts w:ascii="Book Antiqua" w:hAnsi="Book Antiqua"/>
        </w:rPr>
        <w:t>c</w:t>
      </w:r>
      <w:r w:rsidRPr="00FF2AA2">
        <w:rPr>
          <w:rFonts w:ascii="Book Antiqua" w:hAnsi="Book Antiqua"/>
        </w:rPr>
        <w:t>enter should document the risk assessment.  HHS described several factors that covered entities and business associates should consider in their risk assessments, including:</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Considering who received the PHI (e.g., a hacker versu</w:t>
      </w:r>
      <w:r w:rsidR="00F97E91" w:rsidRPr="00FF2AA2">
        <w:rPr>
          <w:rFonts w:ascii="Book Antiqua" w:hAnsi="Book Antiqua"/>
        </w:rPr>
        <w:t>s a hospital or pharmacy).</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Any mitigation efforts that may reduce the likelihood of harm; whether the PHI (or media storing the PHI) was retur</w:t>
      </w:r>
      <w:r w:rsidR="00F97E91" w:rsidRPr="00FF2AA2">
        <w:rPr>
          <w:rFonts w:ascii="Book Antiqua" w:hAnsi="Book Antiqua"/>
        </w:rPr>
        <w:t>ned prior to access or use.</w:t>
      </w:r>
    </w:p>
    <w:p w:rsidR="00661200"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 xml:space="preserve">The nature of the PHI disclosed. </w:t>
      </w:r>
    </w:p>
    <w:p w:rsidR="00F97E91" w:rsidRPr="00FF2AA2" w:rsidRDefault="00F97E91" w:rsidP="00F97E91">
      <w:pPr>
        <w:pStyle w:val="BodyText2"/>
        <w:spacing w:after="0"/>
        <w:ind w:left="1800" w:firstLine="0"/>
        <w:jc w:val="both"/>
        <w:rPr>
          <w:rFonts w:ascii="Book Antiqua" w:hAnsi="Book Antiqua"/>
        </w:rPr>
      </w:pPr>
    </w:p>
    <w:p w:rsidR="00F97E91" w:rsidRPr="00FF2AA2" w:rsidRDefault="00661200" w:rsidP="00F97E91">
      <w:pPr>
        <w:pStyle w:val="BodyText2"/>
        <w:numPr>
          <w:ilvl w:val="0"/>
          <w:numId w:val="8"/>
        </w:numPr>
        <w:spacing w:after="0"/>
        <w:jc w:val="both"/>
        <w:rPr>
          <w:rFonts w:ascii="Book Antiqua" w:hAnsi="Book Antiqua"/>
          <w:b/>
        </w:rPr>
      </w:pPr>
      <w:r w:rsidRPr="00FF2AA2">
        <w:rPr>
          <w:rFonts w:ascii="Book Antiqua" w:hAnsi="Book Antiqua"/>
          <w:b/>
        </w:rPr>
        <w:t>Exceptions from What Constitutes a Breach:</w:t>
      </w:r>
    </w:p>
    <w:p w:rsidR="00F97E91" w:rsidRPr="00FF2AA2" w:rsidRDefault="00661200" w:rsidP="00F97E91">
      <w:pPr>
        <w:pStyle w:val="BodyText2"/>
        <w:numPr>
          <w:ilvl w:val="1"/>
          <w:numId w:val="8"/>
        </w:numPr>
        <w:spacing w:after="0"/>
        <w:jc w:val="both"/>
        <w:rPr>
          <w:rFonts w:ascii="Book Antiqua" w:hAnsi="Book Antiqua"/>
          <w:b/>
        </w:rPr>
      </w:pPr>
      <w:r w:rsidRPr="00FF2AA2">
        <w:rPr>
          <w:rFonts w:ascii="Book Antiqua" w:hAnsi="Book Antiqua"/>
        </w:rPr>
        <w:t>Any unintentional acquisiti</w:t>
      </w:r>
      <w:r w:rsidR="00FF2AA2">
        <w:rPr>
          <w:rFonts w:ascii="Book Antiqua" w:hAnsi="Book Antiqua"/>
        </w:rPr>
        <w:t>on, access, or use of PHI by a c</w:t>
      </w:r>
      <w:r w:rsidRPr="00FF2AA2">
        <w:rPr>
          <w:rFonts w:ascii="Book Antiqua" w:hAnsi="Book Antiqua"/>
        </w:rPr>
        <w:t xml:space="preserve">enter’s workforce member or person acting under the authority of a </w:t>
      </w:r>
      <w:r w:rsidR="00FF2AA2">
        <w:rPr>
          <w:rFonts w:ascii="Book Antiqua" w:hAnsi="Book Antiqua"/>
        </w:rPr>
        <w:t>c</w:t>
      </w:r>
      <w:r w:rsidRPr="00FF2AA2">
        <w:rPr>
          <w:rFonts w:ascii="Book Antiqua" w:hAnsi="Book Antiqua"/>
        </w:rPr>
        <w:t>enter or a Business Associate, if such acquisition, access, or use was made in good faith and within the scope of authority and does not result in further use or disclosure in a manner not permitted under the HIPAA Privacy regulations.</w:t>
      </w:r>
    </w:p>
    <w:p w:rsidR="00F97E91" w:rsidRPr="00FF2AA2" w:rsidRDefault="00661200" w:rsidP="00F97E91">
      <w:pPr>
        <w:pStyle w:val="BodyText2"/>
        <w:numPr>
          <w:ilvl w:val="1"/>
          <w:numId w:val="8"/>
        </w:numPr>
        <w:spacing w:after="0"/>
        <w:jc w:val="both"/>
        <w:rPr>
          <w:rFonts w:ascii="Book Antiqua" w:hAnsi="Book Antiqua"/>
          <w:b/>
        </w:rPr>
      </w:pPr>
      <w:r w:rsidRPr="00FF2AA2">
        <w:rPr>
          <w:rFonts w:ascii="Book Antiqua" w:hAnsi="Book Antiqua"/>
        </w:rPr>
        <w:t>Any inadvertent disclosure by a person who is a</w:t>
      </w:r>
      <w:r w:rsidR="00FF2AA2">
        <w:rPr>
          <w:rFonts w:ascii="Book Antiqua" w:hAnsi="Book Antiqua"/>
        </w:rPr>
        <w:t>uthorized to access PHI at the c</w:t>
      </w:r>
      <w:r w:rsidRPr="00FF2AA2">
        <w:rPr>
          <w:rFonts w:ascii="Book Antiqua" w:hAnsi="Book Antiqua"/>
        </w:rPr>
        <w:t xml:space="preserve">enter or Business Associate to another person authorized to access PHI at the same </w:t>
      </w:r>
      <w:r w:rsidR="00FF2AA2">
        <w:rPr>
          <w:rFonts w:ascii="Book Antiqua" w:hAnsi="Book Antiqua"/>
        </w:rPr>
        <w:t>c</w:t>
      </w:r>
      <w:r w:rsidRPr="00FF2AA2">
        <w:rPr>
          <w:rFonts w:ascii="Book Antiqua" w:hAnsi="Book Antiqua"/>
        </w:rPr>
        <w:t>enter or Business Associate, or organized health</w:t>
      </w:r>
      <w:r w:rsidR="00FF2AA2">
        <w:rPr>
          <w:rFonts w:ascii="Book Antiqua" w:hAnsi="Book Antiqua"/>
        </w:rPr>
        <w:t xml:space="preserve"> care arrangement in which the covered e</w:t>
      </w:r>
      <w:r w:rsidRPr="00FF2AA2">
        <w:rPr>
          <w:rFonts w:ascii="Book Antiqua" w:hAnsi="Book Antiqua"/>
        </w:rPr>
        <w:t>ntity participates, and the information received as a result of such disclosure is not further used or disclosed in a manner not permitted under the HIPAA Privacy regulations.</w:t>
      </w:r>
    </w:p>
    <w:p w:rsidR="00661200" w:rsidRPr="00FF2AA2" w:rsidRDefault="00FF2AA2" w:rsidP="00F97E91">
      <w:pPr>
        <w:pStyle w:val="BodyText2"/>
        <w:numPr>
          <w:ilvl w:val="1"/>
          <w:numId w:val="8"/>
        </w:numPr>
        <w:spacing w:after="0"/>
        <w:jc w:val="both"/>
        <w:rPr>
          <w:rFonts w:ascii="Book Antiqua" w:hAnsi="Book Antiqua"/>
          <w:b/>
        </w:rPr>
      </w:pPr>
      <w:r>
        <w:rPr>
          <w:rFonts w:ascii="Book Antiqua" w:hAnsi="Book Antiqua"/>
        </w:rPr>
        <w:t>A disclosure of PHI where the c</w:t>
      </w:r>
      <w:r w:rsidR="00661200" w:rsidRPr="00FF2AA2">
        <w:rPr>
          <w:rFonts w:ascii="Book Antiqua" w:hAnsi="Book Antiqua"/>
        </w:rPr>
        <w:t>enter or Business Associate has a good faith belief that an unauthorized person to whom the disclosure was made would not reasonably have been able to retain such information.</w:t>
      </w:r>
    </w:p>
    <w:p w:rsidR="00F97E91" w:rsidRPr="00FF2AA2" w:rsidRDefault="00F97E91" w:rsidP="00F97E91">
      <w:pPr>
        <w:pStyle w:val="BodyText2"/>
        <w:spacing w:after="0"/>
        <w:ind w:left="1800" w:firstLine="0"/>
        <w:jc w:val="both"/>
        <w:rPr>
          <w:rFonts w:ascii="Book Antiqua" w:hAnsi="Book Antiqua"/>
          <w:b/>
        </w:rPr>
      </w:pPr>
    </w:p>
    <w:p w:rsidR="00F97E91" w:rsidRPr="00FF2AA2" w:rsidRDefault="00661200" w:rsidP="00F97E91">
      <w:pPr>
        <w:pStyle w:val="BodyText2"/>
        <w:numPr>
          <w:ilvl w:val="0"/>
          <w:numId w:val="8"/>
        </w:numPr>
        <w:spacing w:after="0"/>
        <w:jc w:val="both"/>
        <w:rPr>
          <w:rFonts w:ascii="Book Antiqua" w:hAnsi="Book Antiqua"/>
        </w:rPr>
      </w:pPr>
      <w:r w:rsidRPr="00FF2AA2">
        <w:rPr>
          <w:rFonts w:ascii="Book Antiqua" w:hAnsi="Book Antiqua"/>
          <w:b/>
        </w:rPr>
        <w:t>De-Identified Data.</w:t>
      </w:r>
      <w:r w:rsidRPr="00FF2AA2">
        <w:rPr>
          <w:rFonts w:ascii="Book Antiqua" w:hAnsi="Book Antiqua"/>
        </w:rPr>
        <w:t xml:space="preserve"> Use or disclosure of PHI that has been stripped of identifiers as set forth in the HIPAA Privacy Rule does not compromise the security or privacy of the information, and breach notification would not be required in the event an incident occurred.  The following identifiers must be removed from data for it to be de-identified:</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Names</w:t>
      </w:r>
      <w:r w:rsidR="00F97E91" w:rsidRPr="00FF2AA2">
        <w:rPr>
          <w:rFonts w:ascii="Book Antiqua" w:hAnsi="Book Antiqua"/>
        </w:rPr>
        <w:t>.</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All geographic subdivisions smaller than a State, including street address, city, county, precinct, zip code, and their equivalent geo</w:t>
      </w:r>
      <w:r w:rsidR="00D22BA6">
        <w:rPr>
          <w:rFonts w:ascii="Book Antiqua" w:hAnsi="Book Antiqua"/>
        </w:rPr>
        <w:t>-</w:t>
      </w:r>
      <w:r w:rsidRPr="00FF2AA2">
        <w:rPr>
          <w:rFonts w:ascii="Book Antiqua" w:hAnsi="Book Antiqua"/>
        </w:rPr>
        <w:t xml:space="preserve">codes, except for the initial three digits of a zip code if, according to the current publicly available data from the Bureau of the Census: (1) The </w:t>
      </w:r>
      <w:r w:rsidRPr="00FF2AA2">
        <w:rPr>
          <w:rFonts w:ascii="Book Antiqua" w:hAnsi="Book Antiqua"/>
        </w:rPr>
        <w:lastRenderedPageBreak/>
        <w:t>geographic unit formed by combining all zip codes with the same three initial digits contains more than 20,000 people; and (2) The initial three digits of a zip code for all such geographic units containing 20,000 or fewer people is changed to 000.</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w:t>
      </w:r>
      <w:r w:rsidR="00F97E91" w:rsidRPr="00FF2AA2">
        <w:rPr>
          <w:rFonts w:ascii="Book Antiqua" w:hAnsi="Book Antiqua"/>
        </w:rPr>
        <w:t>gle category of age 90 or older.</w:t>
      </w:r>
    </w:p>
    <w:p w:rsidR="00F97E91" w:rsidRPr="00FF2AA2" w:rsidRDefault="00F97E91" w:rsidP="00F97E91">
      <w:pPr>
        <w:pStyle w:val="BodyText2"/>
        <w:numPr>
          <w:ilvl w:val="1"/>
          <w:numId w:val="8"/>
        </w:numPr>
        <w:spacing w:after="0"/>
        <w:jc w:val="both"/>
        <w:rPr>
          <w:rFonts w:ascii="Book Antiqua" w:hAnsi="Book Antiqua"/>
        </w:rPr>
      </w:pPr>
      <w:r w:rsidRPr="00FF2AA2">
        <w:rPr>
          <w:rFonts w:ascii="Book Antiqua" w:hAnsi="Book Antiqua"/>
        </w:rPr>
        <w:t>Telephone numbers.</w:t>
      </w:r>
    </w:p>
    <w:p w:rsidR="00F97E91" w:rsidRPr="00FF2AA2" w:rsidRDefault="00F97E91" w:rsidP="00F97E91">
      <w:pPr>
        <w:pStyle w:val="BodyText2"/>
        <w:numPr>
          <w:ilvl w:val="1"/>
          <w:numId w:val="8"/>
        </w:numPr>
        <w:spacing w:after="0"/>
        <w:jc w:val="both"/>
        <w:rPr>
          <w:rFonts w:ascii="Book Antiqua" w:hAnsi="Book Antiqua"/>
        </w:rPr>
      </w:pPr>
      <w:r w:rsidRPr="00FF2AA2">
        <w:rPr>
          <w:rFonts w:ascii="Book Antiqua" w:hAnsi="Book Antiqua"/>
        </w:rPr>
        <w:t>Fax numbers.</w:t>
      </w:r>
    </w:p>
    <w:p w:rsidR="00F97E91" w:rsidRPr="00FF2AA2" w:rsidRDefault="00F97E91" w:rsidP="00F97E91">
      <w:pPr>
        <w:pStyle w:val="BodyText2"/>
        <w:numPr>
          <w:ilvl w:val="1"/>
          <w:numId w:val="8"/>
        </w:numPr>
        <w:spacing w:after="0"/>
        <w:jc w:val="both"/>
        <w:rPr>
          <w:rFonts w:ascii="Book Antiqua" w:hAnsi="Book Antiqua"/>
        </w:rPr>
      </w:pPr>
      <w:r w:rsidRPr="00FF2AA2">
        <w:rPr>
          <w:rFonts w:ascii="Book Antiqua" w:hAnsi="Book Antiqua"/>
        </w:rPr>
        <w:t>Electronic mail addresses.</w:t>
      </w:r>
    </w:p>
    <w:p w:rsidR="00F97E91" w:rsidRPr="00FF2AA2" w:rsidRDefault="00F97E91" w:rsidP="00F97E91">
      <w:pPr>
        <w:pStyle w:val="BodyText2"/>
        <w:numPr>
          <w:ilvl w:val="1"/>
          <w:numId w:val="8"/>
        </w:numPr>
        <w:spacing w:after="0"/>
        <w:jc w:val="both"/>
        <w:rPr>
          <w:rFonts w:ascii="Book Antiqua" w:hAnsi="Book Antiqua"/>
        </w:rPr>
      </w:pPr>
      <w:r w:rsidRPr="00FF2AA2">
        <w:rPr>
          <w:rFonts w:ascii="Book Antiqua" w:hAnsi="Book Antiqua"/>
        </w:rPr>
        <w:t>Social security numbers.</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Medic</w:t>
      </w:r>
      <w:r w:rsidR="00F97E91" w:rsidRPr="00FF2AA2">
        <w:rPr>
          <w:rFonts w:ascii="Book Antiqua" w:hAnsi="Book Antiqua"/>
        </w:rPr>
        <w:t>al record numbers.</w:t>
      </w:r>
    </w:p>
    <w:p w:rsidR="00F97E91" w:rsidRPr="00FF2AA2" w:rsidRDefault="00F97E91" w:rsidP="00F97E91">
      <w:pPr>
        <w:pStyle w:val="BodyText2"/>
        <w:numPr>
          <w:ilvl w:val="1"/>
          <w:numId w:val="8"/>
        </w:numPr>
        <w:spacing w:after="0"/>
        <w:jc w:val="both"/>
        <w:rPr>
          <w:rFonts w:ascii="Book Antiqua" w:hAnsi="Book Antiqua"/>
        </w:rPr>
      </w:pPr>
      <w:r w:rsidRPr="00FF2AA2">
        <w:rPr>
          <w:rFonts w:ascii="Book Antiqua" w:hAnsi="Book Antiqua"/>
        </w:rPr>
        <w:t>Health plan beneficiary numbers.</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Account numbers</w:t>
      </w:r>
      <w:r w:rsidR="00F97E91" w:rsidRPr="00FF2AA2">
        <w:rPr>
          <w:rFonts w:ascii="Book Antiqua" w:hAnsi="Book Antiqua"/>
        </w:rPr>
        <w:t>.</w:t>
      </w:r>
    </w:p>
    <w:p w:rsidR="00F97E91" w:rsidRPr="00FF2AA2" w:rsidRDefault="00F97E91" w:rsidP="00F97E91">
      <w:pPr>
        <w:pStyle w:val="BodyText2"/>
        <w:numPr>
          <w:ilvl w:val="1"/>
          <w:numId w:val="8"/>
        </w:numPr>
        <w:spacing w:after="0"/>
        <w:jc w:val="both"/>
        <w:rPr>
          <w:rFonts w:ascii="Book Antiqua" w:hAnsi="Book Antiqua"/>
        </w:rPr>
      </w:pPr>
      <w:r w:rsidRPr="00FF2AA2">
        <w:rPr>
          <w:rFonts w:ascii="Book Antiqua" w:hAnsi="Book Antiqua"/>
        </w:rPr>
        <w:t>Certificate/license numbers.</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 xml:space="preserve">Vehicle identifiers and serial numbers, </w:t>
      </w:r>
      <w:r w:rsidR="00F97E91" w:rsidRPr="00FF2AA2">
        <w:rPr>
          <w:rFonts w:ascii="Book Antiqua" w:hAnsi="Book Antiqua"/>
        </w:rPr>
        <w:t>including license plate numbers.</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Device</w:t>
      </w:r>
      <w:r w:rsidR="00F97E91" w:rsidRPr="00FF2AA2">
        <w:rPr>
          <w:rFonts w:ascii="Book Antiqua" w:hAnsi="Book Antiqua"/>
        </w:rPr>
        <w:t xml:space="preserve"> identifiers and serial numbers.</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Web Uni</w:t>
      </w:r>
      <w:r w:rsidR="00F97E91" w:rsidRPr="00FF2AA2">
        <w:rPr>
          <w:rFonts w:ascii="Book Antiqua" w:hAnsi="Book Antiqua"/>
        </w:rPr>
        <w:t>versal Resource Locators (URLs).</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Interne</w:t>
      </w:r>
      <w:r w:rsidR="00F97E91" w:rsidRPr="00FF2AA2">
        <w:rPr>
          <w:rFonts w:ascii="Book Antiqua" w:hAnsi="Book Antiqua"/>
        </w:rPr>
        <w:t xml:space="preserve">t Protocol (IP) </w:t>
      </w:r>
      <w:proofErr w:type="gramStart"/>
      <w:r w:rsidR="00F97E91" w:rsidRPr="00FF2AA2">
        <w:rPr>
          <w:rFonts w:ascii="Book Antiqua" w:hAnsi="Book Antiqua"/>
        </w:rPr>
        <w:t>address</w:t>
      </w:r>
      <w:proofErr w:type="gramEnd"/>
      <w:r w:rsidR="00F97E91" w:rsidRPr="00FF2AA2">
        <w:rPr>
          <w:rFonts w:ascii="Book Antiqua" w:hAnsi="Book Antiqua"/>
        </w:rPr>
        <w:t xml:space="preserve"> numbers.</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Biometric identifiers, in</w:t>
      </w:r>
      <w:r w:rsidR="00F97E91" w:rsidRPr="00FF2AA2">
        <w:rPr>
          <w:rFonts w:ascii="Book Antiqua" w:hAnsi="Book Antiqua"/>
        </w:rPr>
        <w:t>cluding finger and voice prints.</w:t>
      </w:r>
    </w:p>
    <w:p w:rsidR="00F97E91"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Full face photographic image</w:t>
      </w:r>
      <w:r w:rsidR="00F97E91" w:rsidRPr="00FF2AA2">
        <w:rPr>
          <w:rFonts w:ascii="Book Antiqua" w:hAnsi="Book Antiqua"/>
        </w:rPr>
        <w:t>s and any comparable images.</w:t>
      </w:r>
    </w:p>
    <w:p w:rsidR="00661200"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 xml:space="preserve">Any other unique identifying number, characteristic, or code, </w:t>
      </w:r>
      <w:r w:rsidR="00F97E91" w:rsidRPr="00FF2AA2">
        <w:rPr>
          <w:rFonts w:ascii="Book Antiqua" w:hAnsi="Book Antiqua"/>
        </w:rPr>
        <w:t>except as permitted by section.</w:t>
      </w:r>
    </w:p>
    <w:p w:rsidR="00661200" w:rsidRPr="00FF2AA2" w:rsidRDefault="00F97E91" w:rsidP="00F97E91">
      <w:pPr>
        <w:pStyle w:val="BodyText2"/>
        <w:numPr>
          <w:ilvl w:val="1"/>
          <w:numId w:val="8"/>
        </w:numPr>
        <w:spacing w:after="0"/>
        <w:jc w:val="both"/>
        <w:rPr>
          <w:rFonts w:ascii="Book Antiqua" w:hAnsi="Book Antiqua"/>
        </w:rPr>
      </w:pPr>
      <w:r w:rsidRPr="00FF2AA2">
        <w:rPr>
          <w:rFonts w:ascii="Book Antiqua" w:hAnsi="Book Antiqua"/>
          <w:iCs/>
        </w:rPr>
        <w:t>In</w:t>
      </w:r>
      <w:r w:rsidR="00FF2AA2" w:rsidRPr="00FF2AA2">
        <w:rPr>
          <w:rFonts w:ascii="Book Antiqua" w:hAnsi="Book Antiqua"/>
        </w:rPr>
        <w:t xml:space="preserve"> addition, the c</w:t>
      </w:r>
      <w:r w:rsidR="00661200" w:rsidRPr="00FF2AA2">
        <w:rPr>
          <w:rFonts w:ascii="Book Antiqua" w:hAnsi="Book Antiqua"/>
        </w:rPr>
        <w:t xml:space="preserve">overed </w:t>
      </w:r>
      <w:r w:rsidR="00FF2AA2" w:rsidRPr="00FF2AA2">
        <w:rPr>
          <w:rFonts w:ascii="Book Antiqua" w:hAnsi="Book Antiqua"/>
        </w:rPr>
        <w:t>e</w:t>
      </w:r>
      <w:r w:rsidR="00661200" w:rsidRPr="00FF2AA2">
        <w:rPr>
          <w:rFonts w:ascii="Book Antiqua" w:hAnsi="Book Antiqua"/>
        </w:rPr>
        <w:t xml:space="preserve">ntity must not have actual knowledge that the information could be used alone or in combination with other information to identify an individual who is a subject of the information.  </w:t>
      </w:r>
    </w:p>
    <w:p w:rsidR="00F97E91" w:rsidRPr="00FF2AA2" w:rsidRDefault="00F97E91" w:rsidP="00E03D35">
      <w:pPr>
        <w:pStyle w:val="BodyText2"/>
        <w:spacing w:after="0"/>
        <w:ind w:left="1560" w:firstLine="0"/>
        <w:jc w:val="both"/>
        <w:rPr>
          <w:rFonts w:ascii="Book Antiqua" w:hAnsi="Book Antiqua"/>
        </w:rPr>
      </w:pPr>
    </w:p>
    <w:p w:rsidR="00661200" w:rsidRPr="00FF2AA2" w:rsidRDefault="00661200" w:rsidP="00F97E91">
      <w:pPr>
        <w:pStyle w:val="BodyText2"/>
        <w:numPr>
          <w:ilvl w:val="0"/>
          <w:numId w:val="8"/>
        </w:numPr>
        <w:spacing w:after="0"/>
        <w:jc w:val="both"/>
        <w:rPr>
          <w:rFonts w:ascii="Book Antiqua" w:hAnsi="Book Antiqua"/>
        </w:rPr>
      </w:pPr>
      <w:r w:rsidRPr="00FF2AA2">
        <w:rPr>
          <w:rFonts w:ascii="Book Antiqua" w:hAnsi="Book Antiqua"/>
          <w:b/>
        </w:rPr>
        <w:t>Unsecured PHI</w:t>
      </w:r>
      <w:r w:rsidR="00F97E91" w:rsidRPr="00FF2AA2">
        <w:rPr>
          <w:rFonts w:ascii="Book Antiqua" w:hAnsi="Book Antiqua"/>
          <w:b/>
        </w:rPr>
        <w:t xml:space="preserve">. </w:t>
      </w:r>
      <w:r w:rsidRPr="00FF2AA2">
        <w:rPr>
          <w:rFonts w:ascii="Book Antiqua" w:hAnsi="Book Antiqua"/>
        </w:rPr>
        <w:t>PHI that is not rendered unusable, unreadable, or indecipherable to unauthorized individuals thro</w:t>
      </w:r>
      <w:r w:rsidR="00FF2AA2" w:rsidRPr="00FF2AA2">
        <w:rPr>
          <w:rFonts w:ascii="Book Antiqua" w:hAnsi="Book Antiqua"/>
        </w:rPr>
        <w:t xml:space="preserve">ugh encryption or destruction. </w:t>
      </w:r>
      <w:r w:rsidRPr="00FF2AA2">
        <w:rPr>
          <w:rFonts w:ascii="Book Antiqua" w:hAnsi="Book Antiqua"/>
        </w:rPr>
        <w:t>Redacted PHI is considered unsecured PHI.</w:t>
      </w:r>
    </w:p>
    <w:p w:rsidR="00F97E91" w:rsidRPr="00FF2AA2" w:rsidRDefault="00F97E91" w:rsidP="00F97E91">
      <w:pPr>
        <w:pStyle w:val="BodyText2"/>
        <w:spacing w:after="0"/>
        <w:ind w:left="1080" w:firstLine="0"/>
        <w:jc w:val="both"/>
        <w:rPr>
          <w:rFonts w:ascii="Book Antiqua" w:hAnsi="Book Antiqua"/>
        </w:rPr>
      </w:pPr>
    </w:p>
    <w:p w:rsidR="00661200" w:rsidRPr="00FF2AA2" w:rsidRDefault="00661200" w:rsidP="00F97E91">
      <w:pPr>
        <w:pStyle w:val="BodyText2"/>
        <w:numPr>
          <w:ilvl w:val="0"/>
          <w:numId w:val="8"/>
        </w:numPr>
        <w:spacing w:after="0"/>
        <w:jc w:val="both"/>
        <w:rPr>
          <w:rFonts w:ascii="Book Antiqua" w:hAnsi="Book Antiqua"/>
          <w:b/>
        </w:rPr>
      </w:pPr>
      <w:r w:rsidRPr="00FF2AA2">
        <w:rPr>
          <w:rFonts w:ascii="Book Antiqua" w:hAnsi="Book Antiqua"/>
          <w:b/>
        </w:rPr>
        <w:t>Notification of Individuals</w:t>
      </w:r>
    </w:p>
    <w:p w:rsidR="00F97E91" w:rsidRPr="00FF2AA2" w:rsidRDefault="00FF2AA2" w:rsidP="00F97E91">
      <w:pPr>
        <w:pStyle w:val="BodyText2"/>
        <w:numPr>
          <w:ilvl w:val="1"/>
          <w:numId w:val="8"/>
        </w:numPr>
        <w:spacing w:after="0"/>
        <w:jc w:val="both"/>
        <w:rPr>
          <w:rFonts w:ascii="Book Antiqua" w:hAnsi="Book Antiqua"/>
        </w:rPr>
      </w:pPr>
      <w:r w:rsidRPr="00FF2AA2">
        <w:rPr>
          <w:rFonts w:ascii="Book Antiqua" w:hAnsi="Book Antiqua"/>
        </w:rPr>
        <w:t>A c</w:t>
      </w:r>
      <w:r w:rsidR="00661200" w:rsidRPr="00FF2AA2">
        <w:rPr>
          <w:rFonts w:ascii="Book Antiqua" w:hAnsi="Book Antiqua"/>
        </w:rPr>
        <w:t>enter must notify affected individuals without unreasonable delay but in no case later than 60 days after a breach is discovered.</w:t>
      </w:r>
    </w:p>
    <w:p w:rsidR="00661200" w:rsidRPr="00FF2AA2" w:rsidRDefault="00661200" w:rsidP="00F97E91">
      <w:pPr>
        <w:pStyle w:val="BodyText2"/>
        <w:numPr>
          <w:ilvl w:val="2"/>
          <w:numId w:val="8"/>
        </w:numPr>
        <w:spacing w:after="0"/>
        <w:jc w:val="both"/>
        <w:rPr>
          <w:rFonts w:ascii="Book Antiqua" w:hAnsi="Book Antiqua"/>
        </w:rPr>
      </w:pPr>
      <w:r w:rsidRPr="00FF2AA2">
        <w:rPr>
          <w:rFonts w:ascii="Book Antiqua" w:hAnsi="Book Antiqua"/>
        </w:rPr>
        <w:t>A breach is cons</w:t>
      </w:r>
      <w:r w:rsidR="00FF2AA2" w:rsidRPr="00FF2AA2">
        <w:rPr>
          <w:rFonts w:ascii="Book Antiqua" w:hAnsi="Book Antiqua"/>
        </w:rPr>
        <w:t>idered to be discovered by the c</w:t>
      </w:r>
      <w:r w:rsidRPr="00FF2AA2">
        <w:rPr>
          <w:rFonts w:ascii="Book Antiqua" w:hAnsi="Book Antiqua"/>
        </w:rPr>
        <w:t xml:space="preserve">enter on the first day on which such breach is known, or should reasonably have been known (through the exercise of reasonable diligence) </w:t>
      </w:r>
      <w:r w:rsidR="00FF2AA2" w:rsidRPr="00FF2AA2">
        <w:rPr>
          <w:rFonts w:ascii="Book Antiqua" w:hAnsi="Book Antiqua"/>
        </w:rPr>
        <w:t>to the center, a member of the c</w:t>
      </w:r>
      <w:r w:rsidRPr="00FF2AA2">
        <w:rPr>
          <w:rFonts w:ascii="Book Antiqua" w:hAnsi="Book Antiqua"/>
        </w:rPr>
        <w:t xml:space="preserve">enter’s workforce, or an agent of the </w:t>
      </w:r>
      <w:r w:rsidR="00FF2AA2" w:rsidRPr="00FF2AA2">
        <w:rPr>
          <w:rFonts w:ascii="Book Antiqua" w:hAnsi="Book Antiqua"/>
        </w:rPr>
        <w:t>c</w:t>
      </w:r>
      <w:r w:rsidRPr="00FF2AA2">
        <w:rPr>
          <w:rFonts w:ascii="Book Antiqua" w:hAnsi="Book Antiqua"/>
        </w:rPr>
        <w:t>enter.</w:t>
      </w:r>
    </w:p>
    <w:p w:rsidR="00661200" w:rsidRPr="00FF2AA2" w:rsidRDefault="00D22BA6" w:rsidP="00F97E91">
      <w:pPr>
        <w:pStyle w:val="BodyText2"/>
        <w:numPr>
          <w:ilvl w:val="2"/>
          <w:numId w:val="8"/>
        </w:numPr>
        <w:spacing w:after="0"/>
        <w:jc w:val="both"/>
        <w:rPr>
          <w:rFonts w:ascii="Book Antiqua" w:hAnsi="Book Antiqua"/>
        </w:rPr>
      </w:pPr>
      <w:r>
        <w:rPr>
          <w:rFonts w:ascii="Book Antiqua" w:hAnsi="Book Antiqua"/>
        </w:rPr>
        <w:lastRenderedPageBreak/>
        <w:t>If a breach is discovered by a business a</w:t>
      </w:r>
      <w:r w:rsidR="00661200" w:rsidRPr="00FF2AA2">
        <w:rPr>
          <w:rFonts w:ascii="Book Antiqua" w:hAnsi="Book Antiqua"/>
        </w:rPr>
        <w:t>s</w:t>
      </w:r>
      <w:r w:rsidR="00FF2AA2" w:rsidRPr="00FF2AA2">
        <w:rPr>
          <w:rFonts w:ascii="Book Antiqua" w:hAnsi="Book Antiqua"/>
        </w:rPr>
        <w:t>sociate who is an agent of the c</w:t>
      </w:r>
      <w:r w:rsidR="00661200" w:rsidRPr="00FF2AA2">
        <w:rPr>
          <w:rFonts w:ascii="Book Antiqua" w:hAnsi="Book Antiqua"/>
        </w:rPr>
        <w:t xml:space="preserve">enter (as defined by federal common law), the breach will be considered to be discovered by the </w:t>
      </w:r>
      <w:r w:rsidR="00FF2AA2" w:rsidRPr="00FF2AA2">
        <w:rPr>
          <w:rFonts w:ascii="Book Antiqua" w:hAnsi="Book Antiqua"/>
        </w:rPr>
        <w:t>c</w:t>
      </w:r>
      <w:r w:rsidR="00661200" w:rsidRPr="00FF2AA2">
        <w:rPr>
          <w:rFonts w:ascii="Book Antiqua" w:hAnsi="Book Antiqua"/>
        </w:rPr>
        <w:t>e</w:t>
      </w:r>
      <w:r>
        <w:rPr>
          <w:rFonts w:ascii="Book Antiqua" w:hAnsi="Book Antiqua"/>
        </w:rPr>
        <w:t>nter on the first day that the business a</w:t>
      </w:r>
      <w:r w:rsidR="00661200" w:rsidRPr="00FF2AA2">
        <w:rPr>
          <w:rFonts w:ascii="Book Antiqua" w:hAnsi="Book Antiqua"/>
        </w:rPr>
        <w:t xml:space="preserve">ssociate discovered the </w:t>
      </w:r>
      <w:r>
        <w:rPr>
          <w:rFonts w:ascii="Book Antiqua" w:hAnsi="Book Antiqua"/>
        </w:rPr>
        <w:t>breach, regardless of when the business a</w:t>
      </w:r>
      <w:r w:rsidR="00661200" w:rsidRPr="00FF2AA2">
        <w:rPr>
          <w:rFonts w:ascii="Book Antiqua" w:hAnsi="Book Antiqua"/>
        </w:rPr>
        <w:t>ssociate actu</w:t>
      </w:r>
      <w:r w:rsidR="00FF2AA2" w:rsidRPr="00FF2AA2">
        <w:rPr>
          <w:rFonts w:ascii="Book Antiqua" w:hAnsi="Book Antiqua"/>
        </w:rPr>
        <w:t>ally reports the breach to the c</w:t>
      </w:r>
      <w:r w:rsidR="00661200" w:rsidRPr="00FF2AA2">
        <w:rPr>
          <w:rFonts w:ascii="Book Antiqua" w:hAnsi="Book Antiqua"/>
        </w:rPr>
        <w:t>enter.</w:t>
      </w:r>
    </w:p>
    <w:p w:rsidR="00661200" w:rsidRPr="00FF2AA2" w:rsidRDefault="00D22BA6" w:rsidP="00F97E91">
      <w:pPr>
        <w:pStyle w:val="BodyText2"/>
        <w:numPr>
          <w:ilvl w:val="2"/>
          <w:numId w:val="8"/>
        </w:numPr>
        <w:spacing w:after="0"/>
        <w:jc w:val="both"/>
        <w:rPr>
          <w:rFonts w:ascii="Book Antiqua" w:hAnsi="Book Antiqua"/>
        </w:rPr>
      </w:pPr>
      <w:r>
        <w:rPr>
          <w:rFonts w:ascii="Book Antiqua" w:hAnsi="Book Antiqua"/>
        </w:rPr>
        <w:t>If a breach is discovered by a business a</w:t>
      </w:r>
      <w:r w:rsidR="00661200" w:rsidRPr="00FF2AA2">
        <w:rPr>
          <w:rFonts w:ascii="Book Antiqua" w:hAnsi="Book Antiqua"/>
        </w:rPr>
        <w:t>ssociate who is an</w:t>
      </w:r>
      <w:r w:rsidR="00FF2AA2" w:rsidRPr="00FF2AA2">
        <w:rPr>
          <w:rFonts w:ascii="Book Antiqua" w:hAnsi="Book Antiqua"/>
        </w:rPr>
        <w:t xml:space="preserve"> independent contractor of the c</w:t>
      </w:r>
      <w:r w:rsidR="00661200" w:rsidRPr="00FF2AA2">
        <w:rPr>
          <w:rFonts w:ascii="Book Antiqua" w:hAnsi="Book Antiqua"/>
        </w:rPr>
        <w:t>enter, the breach will be cons</w:t>
      </w:r>
      <w:r w:rsidR="00FF2AA2" w:rsidRPr="00FF2AA2">
        <w:rPr>
          <w:rFonts w:ascii="Book Antiqua" w:hAnsi="Book Antiqua"/>
        </w:rPr>
        <w:t>idered to be discovered by the c</w:t>
      </w:r>
      <w:r w:rsidR="00661200" w:rsidRPr="00FF2AA2">
        <w:rPr>
          <w:rFonts w:ascii="Book Antiqua" w:hAnsi="Book Antiqua"/>
        </w:rPr>
        <w:t xml:space="preserve">enter on the first day that the Business Associate reported the breach to the </w:t>
      </w:r>
      <w:r w:rsidR="00FF2AA2" w:rsidRPr="00FF2AA2">
        <w:rPr>
          <w:rFonts w:ascii="Book Antiqua" w:hAnsi="Book Antiqua"/>
        </w:rPr>
        <w:t>c</w:t>
      </w:r>
      <w:r w:rsidR="00661200" w:rsidRPr="00FF2AA2">
        <w:rPr>
          <w:rFonts w:ascii="Book Antiqua" w:hAnsi="Book Antiqua"/>
        </w:rPr>
        <w:t>enter.</w:t>
      </w:r>
    </w:p>
    <w:p w:rsidR="00661200"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The Notification should include, to the extent possible, the following information, set forth in plain language:</w:t>
      </w:r>
    </w:p>
    <w:p w:rsidR="00661200" w:rsidRPr="00FF2AA2" w:rsidRDefault="00661200" w:rsidP="00F97E91">
      <w:pPr>
        <w:pStyle w:val="BodyText2"/>
        <w:numPr>
          <w:ilvl w:val="2"/>
          <w:numId w:val="8"/>
        </w:numPr>
        <w:spacing w:after="0"/>
        <w:jc w:val="both"/>
        <w:rPr>
          <w:rFonts w:ascii="Book Antiqua" w:hAnsi="Book Antiqua"/>
        </w:rPr>
      </w:pPr>
      <w:r w:rsidRPr="00FF2AA2">
        <w:rPr>
          <w:rFonts w:ascii="Book Antiqua" w:hAnsi="Book Antiqua"/>
        </w:rPr>
        <w:t>A brief description of what happened, including the date of the breach and the date of the discovery of the breach, if known;</w:t>
      </w:r>
    </w:p>
    <w:p w:rsidR="00661200" w:rsidRPr="00FF2AA2" w:rsidRDefault="00661200" w:rsidP="00F97E91">
      <w:pPr>
        <w:pStyle w:val="BodyText2"/>
        <w:numPr>
          <w:ilvl w:val="2"/>
          <w:numId w:val="8"/>
        </w:numPr>
        <w:spacing w:after="0"/>
        <w:jc w:val="both"/>
        <w:rPr>
          <w:rFonts w:ascii="Book Antiqua" w:hAnsi="Book Antiqua"/>
        </w:rPr>
      </w:pPr>
      <w:r w:rsidRPr="00FF2AA2">
        <w:rPr>
          <w:rFonts w:ascii="Book Antiqua" w:hAnsi="Book Antiqua"/>
        </w:rPr>
        <w:t>A description of the types of unsecured protected health information that were involved in the breach (such as whether full name, social security number, date of birth, home address, account number, diagnosis, disability code, or other types of information were involved);</w:t>
      </w:r>
    </w:p>
    <w:p w:rsidR="00661200" w:rsidRPr="00FF2AA2" w:rsidRDefault="00661200" w:rsidP="00F97E91">
      <w:pPr>
        <w:pStyle w:val="BodyText2"/>
        <w:numPr>
          <w:ilvl w:val="2"/>
          <w:numId w:val="8"/>
        </w:numPr>
        <w:spacing w:after="0"/>
        <w:jc w:val="both"/>
        <w:rPr>
          <w:rFonts w:ascii="Book Antiqua" w:hAnsi="Book Antiqua"/>
        </w:rPr>
      </w:pPr>
      <w:r w:rsidRPr="00FF2AA2">
        <w:rPr>
          <w:rFonts w:ascii="Book Antiqua" w:hAnsi="Book Antiqua"/>
        </w:rPr>
        <w:t>Any steps individuals should take to protect themselves from potential harm resulting from the breach;</w:t>
      </w:r>
    </w:p>
    <w:p w:rsidR="00661200" w:rsidRPr="00FF2AA2" w:rsidRDefault="00661200" w:rsidP="00F97E91">
      <w:pPr>
        <w:pStyle w:val="BodyText2"/>
        <w:numPr>
          <w:ilvl w:val="2"/>
          <w:numId w:val="8"/>
        </w:numPr>
        <w:spacing w:after="0"/>
        <w:jc w:val="both"/>
        <w:rPr>
          <w:rFonts w:ascii="Book Antiqua" w:hAnsi="Book Antiqua"/>
        </w:rPr>
      </w:pPr>
      <w:r w:rsidRPr="00FF2AA2">
        <w:rPr>
          <w:rFonts w:ascii="Book Antiqua" w:hAnsi="Book Antiqua"/>
        </w:rPr>
        <w:t>A</w:t>
      </w:r>
      <w:r w:rsidR="00FF2AA2" w:rsidRPr="00FF2AA2">
        <w:rPr>
          <w:rFonts w:ascii="Book Antiqua" w:hAnsi="Book Antiqua"/>
        </w:rPr>
        <w:t xml:space="preserve"> brief description of what the covered e</w:t>
      </w:r>
      <w:r w:rsidRPr="00FF2AA2">
        <w:rPr>
          <w:rFonts w:ascii="Book Antiqua" w:hAnsi="Book Antiqua"/>
        </w:rPr>
        <w:t>ntity involved is doing to investigate the breach, to mitigate harm to individuals, and to protect against any further breaches; and</w:t>
      </w:r>
    </w:p>
    <w:p w:rsidR="00661200" w:rsidRPr="00FF2AA2" w:rsidRDefault="00661200" w:rsidP="00F97E91">
      <w:pPr>
        <w:pStyle w:val="BodyText2"/>
        <w:numPr>
          <w:ilvl w:val="2"/>
          <w:numId w:val="8"/>
        </w:numPr>
        <w:spacing w:after="0"/>
        <w:jc w:val="both"/>
        <w:rPr>
          <w:rFonts w:ascii="Book Antiqua" w:hAnsi="Book Antiqua"/>
        </w:rPr>
      </w:pPr>
      <w:r w:rsidRPr="00FF2AA2">
        <w:rPr>
          <w:rFonts w:ascii="Book Antiqua" w:hAnsi="Book Antiqua"/>
        </w:rPr>
        <w:t>Contact procedures for individuals to ask questions or learn additional information, which shall include a toll-free telephone number, an e-mail address</w:t>
      </w:r>
      <w:r w:rsidR="00FF2AA2" w:rsidRPr="00FF2AA2">
        <w:rPr>
          <w:rFonts w:ascii="Book Antiqua" w:hAnsi="Book Antiqua"/>
        </w:rPr>
        <w:t>, web</w:t>
      </w:r>
      <w:r w:rsidRPr="00FF2AA2">
        <w:rPr>
          <w:rFonts w:ascii="Book Antiqua" w:hAnsi="Book Antiqua"/>
        </w:rPr>
        <w:t>site, or postal address.</w:t>
      </w:r>
    </w:p>
    <w:p w:rsidR="00661200"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 xml:space="preserve">The </w:t>
      </w:r>
      <w:r w:rsidR="00FF2AA2" w:rsidRPr="00FF2AA2">
        <w:rPr>
          <w:rFonts w:ascii="Book Antiqua" w:hAnsi="Book Antiqua"/>
        </w:rPr>
        <w:t>c</w:t>
      </w:r>
      <w:r w:rsidRPr="00FF2AA2">
        <w:rPr>
          <w:rFonts w:ascii="Book Antiqua" w:hAnsi="Book Antiqua"/>
        </w:rPr>
        <w:t xml:space="preserve">enter must notify affected individuals by written notification by first-class mail to the individual at the last known address of the individual or, if the individual agrees to electronic notice and such agreement has not been withdrawn, by electronic mail. </w:t>
      </w:r>
    </w:p>
    <w:p w:rsidR="00661200" w:rsidRPr="00FF2AA2" w:rsidRDefault="00661200" w:rsidP="00F97E91">
      <w:pPr>
        <w:pStyle w:val="BodyText2"/>
        <w:numPr>
          <w:ilvl w:val="2"/>
          <w:numId w:val="8"/>
        </w:numPr>
        <w:spacing w:after="0"/>
        <w:jc w:val="both"/>
        <w:rPr>
          <w:rFonts w:ascii="Book Antiqua" w:hAnsi="Book Antiqua"/>
        </w:rPr>
      </w:pPr>
      <w:r w:rsidRPr="00FF2AA2">
        <w:rPr>
          <w:rFonts w:ascii="Book Antiqua" w:hAnsi="Book Antiqua"/>
        </w:rPr>
        <w:t>Notification may be provided in one or more mailings as information is available.</w:t>
      </w:r>
    </w:p>
    <w:p w:rsidR="00661200" w:rsidRPr="00FF2AA2" w:rsidRDefault="00661200" w:rsidP="00F97E91">
      <w:pPr>
        <w:pStyle w:val="BodyText2"/>
        <w:numPr>
          <w:ilvl w:val="2"/>
          <w:numId w:val="8"/>
        </w:numPr>
        <w:spacing w:after="0"/>
        <w:jc w:val="both"/>
        <w:rPr>
          <w:rFonts w:ascii="Book Antiqua" w:hAnsi="Book Antiqua"/>
        </w:rPr>
      </w:pPr>
      <w:r w:rsidRPr="00FF2AA2">
        <w:rPr>
          <w:rFonts w:ascii="Book Antiqua" w:hAnsi="Book Antiqua"/>
        </w:rPr>
        <w:t xml:space="preserve">If the </w:t>
      </w:r>
      <w:r w:rsidR="00FF2AA2" w:rsidRPr="00FF2AA2">
        <w:rPr>
          <w:rFonts w:ascii="Book Antiqua" w:hAnsi="Book Antiqua"/>
        </w:rPr>
        <w:t>c</w:t>
      </w:r>
      <w:r w:rsidRPr="00FF2AA2">
        <w:rPr>
          <w:rFonts w:ascii="Book Antiqua" w:hAnsi="Book Antiqua"/>
        </w:rPr>
        <w:t xml:space="preserve">enter knows that the individual is deceased and has the address of the next of kin or personal representative of the individual, written notification by first-class mail may be provided to either the next of kin or personal representative of the individual. </w:t>
      </w:r>
    </w:p>
    <w:p w:rsidR="00661200" w:rsidRPr="00FF2AA2" w:rsidRDefault="00661200" w:rsidP="00F97E91">
      <w:pPr>
        <w:pStyle w:val="BodyText2"/>
        <w:numPr>
          <w:ilvl w:val="1"/>
          <w:numId w:val="8"/>
        </w:numPr>
        <w:spacing w:after="0"/>
        <w:jc w:val="both"/>
        <w:rPr>
          <w:rFonts w:ascii="Book Antiqua" w:hAnsi="Book Antiqua"/>
        </w:rPr>
      </w:pPr>
      <w:r w:rsidRPr="00FF2AA2">
        <w:rPr>
          <w:rFonts w:ascii="Book Antiqua" w:hAnsi="Book Antiqua"/>
        </w:rPr>
        <w:t xml:space="preserve">In the case in which there is insufficient or out-of-date contact information that precludes written notification to the individual, the </w:t>
      </w:r>
      <w:r w:rsidR="00FF2AA2" w:rsidRPr="00FF2AA2">
        <w:rPr>
          <w:rFonts w:ascii="Book Antiqua" w:hAnsi="Book Antiqua"/>
        </w:rPr>
        <w:t>c</w:t>
      </w:r>
      <w:r w:rsidRPr="00FF2AA2">
        <w:rPr>
          <w:rFonts w:ascii="Book Antiqua" w:hAnsi="Book Antiqua"/>
        </w:rPr>
        <w:t xml:space="preserve">enter may use a substitute form of notice reasonably calculated to reach the individual. </w:t>
      </w:r>
    </w:p>
    <w:p w:rsidR="00661200" w:rsidRPr="00FF2AA2" w:rsidRDefault="00661200" w:rsidP="00C01BAC">
      <w:pPr>
        <w:pStyle w:val="BodyText2"/>
        <w:numPr>
          <w:ilvl w:val="2"/>
          <w:numId w:val="8"/>
        </w:numPr>
        <w:spacing w:after="0"/>
        <w:jc w:val="both"/>
        <w:rPr>
          <w:rFonts w:ascii="Book Antiqua" w:hAnsi="Book Antiqua"/>
        </w:rPr>
      </w:pPr>
      <w:r w:rsidRPr="00FF2AA2">
        <w:rPr>
          <w:rFonts w:ascii="Book Antiqua" w:hAnsi="Book Antiqua"/>
        </w:rPr>
        <w:lastRenderedPageBreak/>
        <w:t>Substitute notice need not be provided in the case in which there is insufficient or out-of-date contact information that precludes written notification to the next of kin or personal representative of the individual.</w:t>
      </w:r>
    </w:p>
    <w:p w:rsidR="00661200" w:rsidRPr="00FF2AA2" w:rsidRDefault="00661200" w:rsidP="00C01BAC">
      <w:pPr>
        <w:pStyle w:val="BodyText2"/>
        <w:numPr>
          <w:ilvl w:val="2"/>
          <w:numId w:val="8"/>
        </w:numPr>
        <w:spacing w:after="0"/>
        <w:jc w:val="both"/>
        <w:rPr>
          <w:rFonts w:ascii="Book Antiqua" w:hAnsi="Book Antiqua"/>
        </w:rPr>
      </w:pPr>
      <w:r w:rsidRPr="00FF2AA2">
        <w:rPr>
          <w:rFonts w:ascii="Book Antiqua" w:hAnsi="Book Antiqua"/>
        </w:rPr>
        <w:t xml:space="preserve">If the </w:t>
      </w:r>
      <w:r w:rsidR="00FF2AA2" w:rsidRPr="00FF2AA2">
        <w:rPr>
          <w:rFonts w:ascii="Book Antiqua" w:hAnsi="Book Antiqua"/>
        </w:rPr>
        <w:t>c</w:t>
      </w:r>
      <w:r w:rsidRPr="00FF2AA2">
        <w:rPr>
          <w:rFonts w:ascii="Book Antiqua" w:hAnsi="Book Antiqua"/>
        </w:rPr>
        <w:t xml:space="preserve">enter has insufficient or out-of-date contact information for fewer than 10 individuals, the </w:t>
      </w:r>
      <w:r w:rsidR="00FF2AA2" w:rsidRPr="00FF2AA2">
        <w:rPr>
          <w:rFonts w:ascii="Book Antiqua" w:hAnsi="Book Antiqua"/>
        </w:rPr>
        <w:t>c</w:t>
      </w:r>
      <w:r w:rsidRPr="00FF2AA2">
        <w:rPr>
          <w:rFonts w:ascii="Book Antiqua" w:hAnsi="Book Antiqua"/>
        </w:rPr>
        <w:t>enter can provide notice by telephone, or other means.</w:t>
      </w:r>
    </w:p>
    <w:p w:rsidR="00661200" w:rsidRPr="00FF2AA2" w:rsidRDefault="00661200" w:rsidP="00C01BAC">
      <w:pPr>
        <w:pStyle w:val="BodyText2"/>
        <w:numPr>
          <w:ilvl w:val="2"/>
          <w:numId w:val="8"/>
        </w:numPr>
        <w:spacing w:after="0"/>
        <w:jc w:val="both"/>
        <w:rPr>
          <w:rFonts w:ascii="Book Antiqua" w:hAnsi="Book Antiqua"/>
        </w:rPr>
      </w:pPr>
      <w:r w:rsidRPr="00FF2AA2">
        <w:rPr>
          <w:rFonts w:ascii="Book Antiqua" w:hAnsi="Book Antiqua"/>
        </w:rPr>
        <w:t xml:space="preserve">If the </w:t>
      </w:r>
      <w:r w:rsidR="00FF2AA2" w:rsidRPr="00FF2AA2">
        <w:rPr>
          <w:rFonts w:ascii="Book Antiqua" w:hAnsi="Book Antiqua"/>
        </w:rPr>
        <w:t>c</w:t>
      </w:r>
      <w:r w:rsidRPr="00FF2AA2">
        <w:rPr>
          <w:rFonts w:ascii="Book Antiqua" w:hAnsi="Book Antiqua"/>
        </w:rPr>
        <w:t xml:space="preserve">enter has insufficient or out-of-date contact information for 10 or more individuals, the </w:t>
      </w:r>
      <w:r w:rsidR="00FF2AA2" w:rsidRPr="00FF2AA2">
        <w:rPr>
          <w:rFonts w:ascii="Book Antiqua" w:hAnsi="Book Antiqua"/>
        </w:rPr>
        <w:t>c</w:t>
      </w:r>
      <w:r w:rsidRPr="00FF2AA2">
        <w:rPr>
          <w:rFonts w:ascii="Book Antiqua" w:hAnsi="Book Antiqua"/>
        </w:rPr>
        <w:t>enter must provide substitute notice:</w:t>
      </w:r>
    </w:p>
    <w:p w:rsidR="00661200" w:rsidRPr="00FF2AA2" w:rsidRDefault="00661200" w:rsidP="00C01BAC">
      <w:pPr>
        <w:pStyle w:val="BodyText2"/>
        <w:numPr>
          <w:ilvl w:val="3"/>
          <w:numId w:val="8"/>
        </w:numPr>
        <w:spacing w:after="0"/>
        <w:jc w:val="both"/>
        <w:rPr>
          <w:rFonts w:ascii="Book Antiqua" w:hAnsi="Book Antiqua"/>
        </w:rPr>
      </w:pPr>
      <w:r w:rsidRPr="00FF2AA2">
        <w:rPr>
          <w:rFonts w:ascii="Book Antiqua" w:hAnsi="Book Antiqua"/>
        </w:rPr>
        <w:t xml:space="preserve">Through a conspicuous posting </w:t>
      </w:r>
      <w:r w:rsidR="00FF2AA2" w:rsidRPr="00FF2AA2">
        <w:rPr>
          <w:rFonts w:ascii="Book Antiqua" w:hAnsi="Book Antiqua"/>
        </w:rPr>
        <w:t>for a period of 90 days on the c</w:t>
      </w:r>
      <w:r w:rsidRPr="00FF2AA2">
        <w:rPr>
          <w:rFonts w:ascii="Book Antiqua" w:hAnsi="Book Antiqua"/>
        </w:rPr>
        <w:t>enter’s website or in major print or broadcast media in geographic areas where the individuals affected by the breach likely reside; and</w:t>
      </w:r>
    </w:p>
    <w:p w:rsidR="00661200" w:rsidRPr="00FF2AA2" w:rsidRDefault="00661200" w:rsidP="00C01BAC">
      <w:pPr>
        <w:pStyle w:val="BodyText2"/>
        <w:numPr>
          <w:ilvl w:val="3"/>
          <w:numId w:val="8"/>
        </w:numPr>
        <w:spacing w:after="0"/>
        <w:jc w:val="both"/>
        <w:rPr>
          <w:rFonts w:ascii="Book Antiqua" w:hAnsi="Book Antiqua"/>
        </w:rPr>
      </w:pPr>
      <w:r w:rsidRPr="00FF2AA2">
        <w:rPr>
          <w:rFonts w:ascii="Book Antiqua" w:hAnsi="Book Antiqua"/>
        </w:rPr>
        <w:t>Include a toll-free phone number that remains active for at least 90 days where an individual can learn whether the individual’s unsecured PHI may be included in the breach.</w:t>
      </w:r>
    </w:p>
    <w:p w:rsidR="00661200" w:rsidRPr="00FF2AA2" w:rsidRDefault="00FF2AA2" w:rsidP="00C01BAC">
      <w:pPr>
        <w:pStyle w:val="BodyText2"/>
        <w:numPr>
          <w:ilvl w:val="2"/>
          <w:numId w:val="8"/>
        </w:numPr>
        <w:spacing w:after="0"/>
        <w:jc w:val="both"/>
        <w:rPr>
          <w:rFonts w:ascii="Book Antiqua" w:hAnsi="Book Antiqua"/>
        </w:rPr>
      </w:pPr>
      <w:r w:rsidRPr="00FF2AA2">
        <w:rPr>
          <w:rFonts w:ascii="Book Antiqua" w:hAnsi="Book Antiqua"/>
        </w:rPr>
        <w:t>If the c</w:t>
      </w:r>
      <w:r w:rsidR="00661200" w:rsidRPr="00FF2AA2">
        <w:rPr>
          <w:rFonts w:ascii="Book Antiqua" w:hAnsi="Book Antiqua"/>
        </w:rPr>
        <w:t>enter deems that a situation requires urgency because of possible imminen</w:t>
      </w:r>
      <w:r w:rsidRPr="00FF2AA2">
        <w:rPr>
          <w:rFonts w:ascii="Book Antiqua" w:hAnsi="Book Antiqua"/>
        </w:rPr>
        <w:t>t misuse of unsecured PHI, the c</w:t>
      </w:r>
      <w:r w:rsidR="00661200" w:rsidRPr="00FF2AA2">
        <w:rPr>
          <w:rFonts w:ascii="Book Antiqua" w:hAnsi="Book Antiqua"/>
        </w:rPr>
        <w:t>enter may provide information to individuals by telephone or other means, as appropriate, in addition to written notice.</w:t>
      </w:r>
    </w:p>
    <w:p w:rsidR="00C01BAC" w:rsidRPr="00FF2AA2" w:rsidRDefault="00C01BAC" w:rsidP="00C01BAC">
      <w:pPr>
        <w:pStyle w:val="BodyText2"/>
        <w:spacing w:after="0"/>
        <w:ind w:left="2520" w:firstLine="0"/>
        <w:jc w:val="both"/>
        <w:rPr>
          <w:rFonts w:ascii="Book Antiqua" w:hAnsi="Book Antiqua"/>
        </w:rPr>
      </w:pPr>
    </w:p>
    <w:p w:rsidR="00661200" w:rsidRPr="00FF2AA2" w:rsidRDefault="00661200" w:rsidP="00C01BAC">
      <w:pPr>
        <w:pStyle w:val="BodyText2"/>
        <w:numPr>
          <w:ilvl w:val="0"/>
          <w:numId w:val="8"/>
        </w:numPr>
        <w:spacing w:after="0"/>
        <w:jc w:val="both"/>
        <w:rPr>
          <w:rFonts w:ascii="Book Antiqua" w:hAnsi="Book Antiqua"/>
          <w:b/>
        </w:rPr>
      </w:pPr>
      <w:r w:rsidRPr="00FF2AA2">
        <w:rPr>
          <w:rFonts w:ascii="Book Antiqua" w:hAnsi="Book Antiqua"/>
          <w:b/>
        </w:rPr>
        <w:t>Notification to Media</w:t>
      </w:r>
    </w:p>
    <w:p w:rsidR="00661200" w:rsidRPr="00FF2AA2" w:rsidRDefault="00661200" w:rsidP="00C01BAC">
      <w:pPr>
        <w:pStyle w:val="BodyText2"/>
        <w:numPr>
          <w:ilvl w:val="1"/>
          <w:numId w:val="8"/>
        </w:numPr>
        <w:spacing w:after="0"/>
        <w:jc w:val="both"/>
        <w:rPr>
          <w:rFonts w:ascii="Book Antiqua" w:hAnsi="Book Antiqua"/>
        </w:rPr>
      </w:pPr>
      <w:r w:rsidRPr="00FF2AA2">
        <w:rPr>
          <w:rFonts w:ascii="Book Antiqua" w:hAnsi="Book Antiqua"/>
        </w:rPr>
        <w:t>If a breach involves more than 500</w:t>
      </w:r>
      <w:r w:rsidR="00FF2AA2" w:rsidRPr="00FF2AA2">
        <w:rPr>
          <w:rFonts w:ascii="Book Antiqua" w:hAnsi="Book Antiqua"/>
        </w:rPr>
        <w:t xml:space="preserve"> Texas residents, the c</w:t>
      </w:r>
      <w:r w:rsidRPr="00FF2AA2">
        <w:rPr>
          <w:rFonts w:ascii="Book Antiqua" w:hAnsi="Book Antiqua"/>
        </w:rPr>
        <w:t>enter shall notify prominent media outlets serving Texas without unreasonable delay and in no case later than 60 calendar days after discovery of a breach.</w:t>
      </w:r>
    </w:p>
    <w:p w:rsidR="00661200" w:rsidRPr="00FF2AA2" w:rsidRDefault="00661200" w:rsidP="00C01BAC">
      <w:pPr>
        <w:pStyle w:val="BodyText2"/>
        <w:numPr>
          <w:ilvl w:val="1"/>
          <w:numId w:val="8"/>
        </w:numPr>
        <w:spacing w:after="0"/>
        <w:jc w:val="both"/>
        <w:rPr>
          <w:rFonts w:ascii="Book Antiqua" w:hAnsi="Book Antiqua"/>
        </w:rPr>
      </w:pPr>
      <w:r w:rsidRPr="00FF2AA2">
        <w:rPr>
          <w:rFonts w:ascii="Book Antiqua" w:hAnsi="Book Antiqua"/>
        </w:rPr>
        <w:t>Notification to the media must contain the same information as notification t</w:t>
      </w:r>
      <w:r w:rsidR="00FF2AA2" w:rsidRPr="00FF2AA2">
        <w:rPr>
          <w:rFonts w:ascii="Book Antiqua" w:hAnsi="Book Antiqua"/>
        </w:rPr>
        <w:t xml:space="preserve">o the individual. </w:t>
      </w:r>
      <w:r w:rsidRPr="00FF2AA2">
        <w:rPr>
          <w:rFonts w:ascii="Book Antiqua" w:hAnsi="Book Antiqua"/>
        </w:rPr>
        <w:t>The Notification shall not contain any PHI.</w:t>
      </w:r>
    </w:p>
    <w:p w:rsidR="00C01BAC" w:rsidRPr="00FF2AA2" w:rsidRDefault="00C01BAC" w:rsidP="00C01BAC">
      <w:pPr>
        <w:pStyle w:val="BodyText2"/>
        <w:spacing w:after="0"/>
        <w:ind w:left="2340" w:firstLine="0"/>
        <w:jc w:val="both"/>
        <w:rPr>
          <w:rFonts w:ascii="Book Antiqua" w:hAnsi="Book Antiqua"/>
        </w:rPr>
      </w:pPr>
    </w:p>
    <w:p w:rsidR="00661200" w:rsidRPr="00FF2AA2" w:rsidRDefault="00661200" w:rsidP="00C01BAC">
      <w:pPr>
        <w:pStyle w:val="BodyText2"/>
        <w:numPr>
          <w:ilvl w:val="0"/>
          <w:numId w:val="8"/>
        </w:numPr>
        <w:spacing w:after="0"/>
        <w:jc w:val="both"/>
        <w:rPr>
          <w:rFonts w:ascii="Book Antiqua" w:hAnsi="Book Antiqua"/>
          <w:b/>
        </w:rPr>
      </w:pPr>
      <w:r w:rsidRPr="00FF2AA2">
        <w:rPr>
          <w:rFonts w:ascii="Book Antiqua" w:hAnsi="Book Antiqua"/>
          <w:b/>
        </w:rPr>
        <w:t>Notification to Secretary</w:t>
      </w:r>
    </w:p>
    <w:p w:rsidR="00661200" w:rsidRPr="00FF2AA2" w:rsidRDefault="00661200" w:rsidP="00C01BAC">
      <w:pPr>
        <w:pStyle w:val="BodyText2"/>
        <w:numPr>
          <w:ilvl w:val="1"/>
          <w:numId w:val="8"/>
        </w:numPr>
        <w:spacing w:after="0"/>
        <w:jc w:val="both"/>
        <w:rPr>
          <w:rFonts w:ascii="Book Antiqua" w:hAnsi="Book Antiqua"/>
        </w:rPr>
      </w:pPr>
      <w:r w:rsidRPr="00FF2AA2">
        <w:rPr>
          <w:rFonts w:ascii="Book Antiqua" w:hAnsi="Book Antiqua"/>
        </w:rPr>
        <w:t>For breaches involvin</w:t>
      </w:r>
      <w:r w:rsidR="00C01BAC" w:rsidRPr="00FF2AA2">
        <w:rPr>
          <w:rFonts w:ascii="Book Antiqua" w:hAnsi="Book Antiqua"/>
        </w:rPr>
        <w:t>g 500 or more individuals, the c</w:t>
      </w:r>
      <w:r w:rsidRPr="00FF2AA2">
        <w:rPr>
          <w:rFonts w:ascii="Book Antiqua" w:hAnsi="Book Antiqua"/>
        </w:rPr>
        <w:t>enter must notify the Secretary</w:t>
      </w:r>
      <w:r w:rsidR="00C01BAC" w:rsidRPr="00FF2AA2">
        <w:rPr>
          <w:rFonts w:ascii="Book Antiqua" w:hAnsi="Book Antiqua"/>
        </w:rPr>
        <w:t xml:space="preserve"> of Health and Human Services (</w:t>
      </w:r>
      <w:r w:rsidRPr="00FF2AA2">
        <w:rPr>
          <w:rFonts w:ascii="Book Antiqua" w:hAnsi="Book Antiqua"/>
        </w:rPr>
        <w:t xml:space="preserve">Secretary) through the </w:t>
      </w:r>
      <w:hyperlink r:id="rId8" w:history="1">
        <w:r w:rsidR="00C01BAC" w:rsidRPr="00FF2AA2">
          <w:rPr>
            <w:rStyle w:val="Hyperlink"/>
            <w:rFonts w:ascii="Book Antiqua" w:hAnsi="Book Antiqua"/>
          </w:rPr>
          <w:t xml:space="preserve">U.S. Department of </w:t>
        </w:r>
        <w:r w:rsidRPr="00FF2AA2">
          <w:rPr>
            <w:rStyle w:val="Hyperlink"/>
            <w:rFonts w:ascii="Book Antiqua" w:hAnsi="Book Antiqua"/>
          </w:rPr>
          <w:t>H</w:t>
        </w:r>
        <w:r w:rsidR="00C01BAC" w:rsidRPr="00FF2AA2">
          <w:rPr>
            <w:rStyle w:val="Hyperlink"/>
            <w:rFonts w:ascii="Book Antiqua" w:hAnsi="Book Antiqua"/>
          </w:rPr>
          <w:t xml:space="preserve">ealth &amp; </w:t>
        </w:r>
        <w:r w:rsidRPr="00FF2AA2">
          <w:rPr>
            <w:rStyle w:val="Hyperlink"/>
            <w:rFonts w:ascii="Book Antiqua" w:hAnsi="Book Antiqua"/>
          </w:rPr>
          <w:t>H</w:t>
        </w:r>
        <w:r w:rsidR="00C01BAC" w:rsidRPr="00FF2AA2">
          <w:rPr>
            <w:rStyle w:val="Hyperlink"/>
            <w:rFonts w:ascii="Book Antiqua" w:hAnsi="Book Antiqua"/>
          </w:rPr>
          <w:t xml:space="preserve">uman </w:t>
        </w:r>
        <w:r w:rsidRPr="00FF2AA2">
          <w:rPr>
            <w:rStyle w:val="Hyperlink"/>
            <w:rFonts w:ascii="Book Antiqua" w:hAnsi="Book Antiqua"/>
          </w:rPr>
          <w:t>S</w:t>
        </w:r>
        <w:r w:rsidR="00C01BAC" w:rsidRPr="00FF2AA2">
          <w:rPr>
            <w:rStyle w:val="Hyperlink"/>
            <w:rFonts w:ascii="Book Antiqua" w:hAnsi="Book Antiqua"/>
          </w:rPr>
          <w:t>ervices</w:t>
        </w:r>
      </w:hyperlink>
      <w:r w:rsidR="00C01BAC" w:rsidRPr="00FF2AA2">
        <w:rPr>
          <w:rFonts w:ascii="Book Antiqua" w:hAnsi="Book Antiqua"/>
        </w:rPr>
        <w:t xml:space="preserve"> website.</w:t>
      </w:r>
    </w:p>
    <w:p w:rsidR="00C01BAC" w:rsidRPr="00FF2AA2" w:rsidRDefault="00661200" w:rsidP="00C01BAC">
      <w:pPr>
        <w:pStyle w:val="BodyText2"/>
        <w:numPr>
          <w:ilvl w:val="1"/>
          <w:numId w:val="8"/>
        </w:numPr>
        <w:spacing w:after="0"/>
        <w:jc w:val="both"/>
        <w:rPr>
          <w:rFonts w:ascii="Book Antiqua" w:hAnsi="Book Antiqua"/>
        </w:rPr>
      </w:pPr>
      <w:r w:rsidRPr="00FF2AA2">
        <w:rPr>
          <w:rFonts w:ascii="Book Antiqua" w:hAnsi="Book Antiqua"/>
        </w:rPr>
        <w:t xml:space="preserve">For breaches involving fewer than 500 individuals, the Center shall maintain a log or other documentation of such breaches and submit notification of the breaches to the Secretary through the </w:t>
      </w:r>
      <w:hyperlink r:id="rId9" w:history="1">
        <w:r w:rsidR="00C01BAC" w:rsidRPr="00FF2AA2">
          <w:rPr>
            <w:rStyle w:val="Hyperlink"/>
            <w:rFonts w:ascii="Book Antiqua" w:hAnsi="Book Antiqua"/>
          </w:rPr>
          <w:t>U.S. Department of Health &amp; Human Services</w:t>
        </w:r>
      </w:hyperlink>
      <w:r w:rsidR="00C01BAC" w:rsidRPr="00FF2AA2">
        <w:rPr>
          <w:rFonts w:ascii="Book Antiqua" w:hAnsi="Book Antiqua"/>
        </w:rPr>
        <w:t xml:space="preserve"> website</w:t>
      </w:r>
      <w:r w:rsidRPr="00FF2AA2">
        <w:rPr>
          <w:rFonts w:ascii="Book Antiqua" w:hAnsi="Book Antiqua"/>
        </w:rPr>
        <w:t>.</w:t>
      </w:r>
    </w:p>
    <w:p w:rsidR="00C01BAC" w:rsidRPr="00FF2AA2" w:rsidRDefault="00C01BAC" w:rsidP="00C01BAC">
      <w:pPr>
        <w:pStyle w:val="BodyText2"/>
        <w:spacing w:after="0"/>
        <w:ind w:left="1800" w:firstLine="0"/>
        <w:jc w:val="both"/>
        <w:rPr>
          <w:rFonts w:ascii="Book Antiqua" w:hAnsi="Book Antiqua"/>
        </w:rPr>
      </w:pPr>
    </w:p>
    <w:p w:rsidR="00C01BAC" w:rsidRPr="00FF2AA2" w:rsidRDefault="00C01BAC" w:rsidP="00C01BAC">
      <w:pPr>
        <w:pStyle w:val="BodyText2"/>
        <w:numPr>
          <w:ilvl w:val="0"/>
          <w:numId w:val="8"/>
        </w:numPr>
        <w:spacing w:after="0"/>
        <w:jc w:val="both"/>
        <w:rPr>
          <w:rFonts w:ascii="Book Antiqua" w:hAnsi="Book Antiqua"/>
        </w:rPr>
      </w:pPr>
      <w:r w:rsidRPr="00FF2AA2">
        <w:rPr>
          <w:rFonts w:ascii="Book Antiqua" w:hAnsi="Book Antiqua"/>
          <w:b/>
        </w:rPr>
        <w:lastRenderedPageBreak/>
        <w:t>F</w:t>
      </w:r>
      <w:r w:rsidR="00661200" w:rsidRPr="00FF2AA2">
        <w:rPr>
          <w:rFonts w:ascii="Book Antiqua" w:hAnsi="Book Antiqua"/>
          <w:b/>
        </w:rPr>
        <w:t>ederal Data Breach Guidance.</w:t>
      </w:r>
      <w:r w:rsidRPr="00FF2AA2">
        <w:rPr>
          <w:rFonts w:ascii="Book Antiqua" w:hAnsi="Book Antiqua"/>
        </w:rPr>
        <w:t xml:space="preserve"> </w:t>
      </w:r>
      <w:r w:rsidR="00661200" w:rsidRPr="00FF2AA2">
        <w:rPr>
          <w:rFonts w:ascii="Book Antiqua" w:hAnsi="Book Antiqua"/>
        </w:rPr>
        <w:t xml:space="preserve">Additional guidance about data breach notification requirements for </w:t>
      </w:r>
      <w:r w:rsidRPr="00FF2AA2">
        <w:rPr>
          <w:rFonts w:ascii="Book Antiqua" w:hAnsi="Book Antiqua"/>
        </w:rPr>
        <w:t>c</w:t>
      </w:r>
      <w:r w:rsidR="00661200" w:rsidRPr="00FF2AA2">
        <w:rPr>
          <w:rFonts w:ascii="Book Antiqua" w:hAnsi="Book Antiqua"/>
        </w:rPr>
        <w:t xml:space="preserve">overed </w:t>
      </w:r>
      <w:r w:rsidRPr="00FF2AA2">
        <w:rPr>
          <w:rFonts w:ascii="Book Antiqua" w:hAnsi="Book Antiqua"/>
        </w:rPr>
        <w:t>e</w:t>
      </w:r>
      <w:r w:rsidR="00661200" w:rsidRPr="00FF2AA2">
        <w:rPr>
          <w:rFonts w:ascii="Book Antiqua" w:hAnsi="Book Antiqua"/>
        </w:rPr>
        <w:t xml:space="preserve">ntities is available </w:t>
      </w:r>
      <w:r w:rsidRPr="00FF2AA2">
        <w:rPr>
          <w:rFonts w:ascii="Book Antiqua" w:hAnsi="Book Antiqua"/>
        </w:rPr>
        <w:t xml:space="preserve">at the </w:t>
      </w:r>
      <w:hyperlink r:id="rId10" w:history="1">
        <w:r w:rsidRPr="00FF2AA2">
          <w:rPr>
            <w:rStyle w:val="Hyperlink"/>
            <w:rFonts w:ascii="Book Antiqua" w:hAnsi="Book Antiqua"/>
          </w:rPr>
          <w:t>U.S. Department of Health &amp; Human Services</w:t>
        </w:r>
      </w:hyperlink>
      <w:r w:rsidRPr="00FF2AA2">
        <w:rPr>
          <w:rFonts w:ascii="Book Antiqua" w:hAnsi="Book Antiqua"/>
        </w:rPr>
        <w:t xml:space="preserve"> website.</w:t>
      </w:r>
    </w:p>
    <w:p w:rsidR="00C01BAC" w:rsidRPr="00FF2AA2" w:rsidRDefault="00C01BAC" w:rsidP="00C01BAC">
      <w:pPr>
        <w:pStyle w:val="BodyText2"/>
        <w:spacing w:after="0"/>
        <w:ind w:left="1080" w:firstLine="0"/>
        <w:jc w:val="both"/>
        <w:rPr>
          <w:rFonts w:ascii="Book Antiqua" w:hAnsi="Book Antiqua"/>
        </w:rPr>
      </w:pPr>
    </w:p>
    <w:p w:rsidR="00C01BAC" w:rsidRPr="00FF2AA2" w:rsidRDefault="00C01BAC" w:rsidP="00C01BAC">
      <w:pPr>
        <w:pStyle w:val="BodyText2"/>
        <w:numPr>
          <w:ilvl w:val="0"/>
          <w:numId w:val="3"/>
        </w:numPr>
        <w:spacing w:after="0"/>
        <w:jc w:val="both"/>
        <w:rPr>
          <w:rFonts w:ascii="Book Antiqua" w:hAnsi="Book Antiqua"/>
          <w:b/>
          <w:bCs/>
          <w:u w:val="single"/>
        </w:rPr>
      </w:pPr>
      <w:r w:rsidRPr="00FF2AA2">
        <w:rPr>
          <w:rFonts w:ascii="Book Antiqua" w:hAnsi="Book Antiqua"/>
          <w:b/>
          <w:bCs/>
          <w:u w:val="single"/>
        </w:rPr>
        <w:t>Key HIPAA Transactions, Code Sets, And National Provider Identifiers Terms And Provisions</w:t>
      </w:r>
    </w:p>
    <w:p w:rsidR="00C01BAC" w:rsidRPr="00FF2AA2" w:rsidRDefault="00C01BAC" w:rsidP="00C01BAC">
      <w:pPr>
        <w:pStyle w:val="BodyText2"/>
        <w:spacing w:after="0"/>
        <w:ind w:left="720" w:firstLine="0"/>
        <w:jc w:val="both"/>
        <w:rPr>
          <w:rFonts w:ascii="Book Antiqua" w:hAnsi="Book Antiqua"/>
          <w:b/>
          <w:bCs/>
          <w:u w:val="single"/>
        </w:rPr>
      </w:pPr>
    </w:p>
    <w:p w:rsidR="00661200" w:rsidRPr="00FF2AA2" w:rsidRDefault="00661200" w:rsidP="00A32A31">
      <w:pPr>
        <w:pStyle w:val="BodyText2"/>
        <w:numPr>
          <w:ilvl w:val="1"/>
          <w:numId w:val="3"/>
        </w:numPr>
        <w:spacing w:after="0"/>
        <w:ind w:left="1080" w:hanging="360"/>
        <w:jc w:val="both"/>
        <w:rPr>
          <w:rFonts w:ascii="Book Antiqua" w:hAnsi="Book Antiqua"/>
          <w:b/>
          <w:bCs/>
          <w:u w:val="single"/>
        </w:rPr>
      </w:pPr>
      <w:r w:rsidRPr="00FF2AA2">
        <w:rPr>
          <w:rFonts w:ascii="Book Antiqua" w:hAnsi="Book Antiqua"/>
          <w:b/>
        </w:rPr>
        <w:t>Standard Transactions.</w:t>
      </w:r>
      <w:r w:rsidR="00C01BAC" w:rsidRPr="00FF2AA2">
        <w:rPr>
          <w:rFonts w:ascii="Book Antiqua" w:hAnsi="Book Antiqua"/>
          <w:b/>
        </w:rPr>
        <w:t xml:space="preserve"> </w:t>
      </w:r>
      <w:r w:rsidR="00FF2AA2" w:rsidRPr="00FF2AA2">
        <w:rPr>
          <w:rFonts w:ascii="Book Antiqua" w:hAnsi="Book Antiqua"/>
        </w:rPr>
        <w:t>The term standard t</w:t>
      </w:r>
      <w:r w:rsidRPr="00FF2AA2">
        <w:rPr>
          <w:rFonts w:ascii="Book Antiqua" w:hAnsi="Book Antiqua"/>
        </w:rPr>
        <w:t>ransactions includes various electronic transactions (e.g., relating to claims processing) HHS has identified that must be conducted in a standard format (i.e., including certain data elements). The goal is to simplify the billing process and to provide protection from unauthorized disclosure of PHI.</w:t>
      </w:r>
    </w:p>
    <w:p w:rsidR="00C01BAC" w:rsidRPr="00FF2AA2" w:rsidRDefault="00C01BAC" w:rsidP="00A32A31">
      <w:pPr>
        <w:pStyle w:val="BodyText2"/>
        <w:spacing w:after="0"/>
        <w:ind w:left="1080" w:hanging="360"/>
        <w:jc w:val="both"/>
        <w:rPr>
          <w:rFonts w:ascii="Book Antiqua" w:hAnsi="Book Antiqua"/>
          <w:b/>
          <w:bCs/>
          <w:u w:val="single"/>
        </w:rPr>
      </w:pPr>
    </w:p>
    <w:p w:rsidR="00A32A31" w:rsidRPr="00FF2AA2" w:rsidRDefault="00661200" w:rsidP="00A32A31">
      <w:pPr>
        <w:pStyle w:val="BodyText2"/>
        <w:numPr>
          <w:ilvl w:val="1"/>
          <w:numId w:val="3"/>
        </w:numPr>
        <w:spacing w:after="0"/>
        <w:ind w:left="1080" w:hanging="360"/>
        <w:jc w:val="both"/>
        <w:rPr>
          <w:rFonts w:ascii="Book Antiqua" w:hAnsi="Book Antiqua"/>
        </w:rPr>
      </w:pPr>
      <w:r w:rsidRPr="00FF2AA2">
        <w:rPr>
          <w:rFonts w:ascii="Book Antiqua" w:hAnsi="Book Antiqua"/>
          <w:b/>
        </w:rPr>
        <w:t>Code Sets</w:t>
      </w:r>
      <w:r w:rsidR="00C01BAC" w:rsidRPr="00FF2AA2">
        <w:rPr>
          <w:rFonts w:ascii="Book Antiqua" w:hAnsi="Book Antiqua"/>
          <w:b/>
        </w:rPr>
        <w:t>.</w:t>
      </w:r>
      <w:r w:rsidR="00C01BAC" w:rsidRPr="00FF2AA2">
        <w:rPr>
          <w:rFonts w:ascii="Book Antiqua" w:hAnsi="Book Antiqua"/>
        </w:rPr>
        <w:t xml:space="preserve"> </w:t>
      </w:r>
      <w:r w:rsidR="00FF2AA2" w:rsidRPr="00FF2AA2">
        <w:rPr>
          <w:rFonts w:ascii="Book Antiqua" w:hAnsi="Book Antiqua"/>
        </w:rPr>
        <w:t>The term code s</w:t>
      </w:r>
      <w:r w:rsidRPr="00FF2AA2">
        <w:rPr>
          <w:rFonts w:ascii="Book Antiqua" w:hAnsi="Book Antiqua"/>
        </w:rPr>
        <w:t>ets means codes to identify diagnosis, treatment or other health services for purposes of billing and tracking. Code Sets that must be used are the standard service codes including International Statistical Classification of Diseases and R</w:t>
      </w:r>
      <w:r w:rsidR="0070340C">
        <w:rPr>
          <w:rFonts w:ascii="Book Antiqua" w:hAnsi="Book Antiqua"/>
        </w:rPr>
        <w:t>elated Health Problems or ICD-9</w:t>
      </w:r>
      <w:r w:rsidRPr="00FF2AA2">
        <w:rPr>
          <w:rFonts w:ascii="Book Antiqua" w:hAnsi="Book Antiqua"/>
        </w:rPr>
        <w:t>-CM</w:t>
      </w:r>
      <w:r w:rsidR="0070340C">
        <w:rPr>
          <w:rStyle w:val="FootnoteReference"/>
          <w:rFonts w:ascii="Book Antiqua" w:hAnsi="Book Antiqua"/>
        </w:rPr>
        <w:footnoteReference w:id="12"/>
      </w:r>
      <w:r w:rsidRPr="00FF2AA2">
        <w:rPr>
          <w:rFonts w:ascii="Book Antiqua" w:hAnsi="Book Antiqua"/>
        </w:rPr>
        <w:t xml:space="preserve"> (diagnoses and procedures), Current Procedural Terminology or CPT-4 (procedures and services), Healthcare Common Procedure Coding System or HCPCS (adjunct to CPT-4), Code on Dental Procedures and Nomenclature or CDT-2 (dental se</w:t>
      </w:r>
      <w:r w:rsidR="00FF2AA2" w:rsidRPr="00FF2AA2">
        <w:rPr>
          <w:rFonts w:ascii="Book Antiqua" w:hAnsi="Book Antiqua"/>
        </w:rPr>
        <w:t>rvices) and National Drug Code (NDC) (pharmacy transactions). Note that c</w:t>
      </w:r>
      <w:r w:rsidRPr="00FF2AA2">
        <w:rPr>
          <w:rFonts w:ascii="Book Antiqua" w:hAnsi="Book Antiqua"/>
        </w:rPr>
        <w:t xml:space="preserve">ode </w:t>
      </w:r>
      <w:r w:rsidR="00FF2AA2" w:rsidRPr="00FF2AA2">
        <w:rPr>
          <w:rFonts w:ascii="Book Antiqua" w:hAnsi="Book Antiqua"/>
        </w:rPr>
        <w:t>s</w:t>
      </w:r>
      <w:r w:rsidRPr="00FF2AA2">
        <w:rPr>
          <w:rFonts w:ascii="Book Antiqua" w:hAnsi="Book Antiqua"/>
        </w:rPr>
        <w:t>ets may be updated annually, so it is neces</w:t>
      </w:r>
      <w:r w:rsidR="00FF2AA2" w:rsidRPr="00FF2AA2">
        <w:rPr>
          <w:rFonts w:ascii="Book Antiqua" w:hAnsi="Book Antiqua"/>
        </w:rPr>
        <w:t>sary to secure the current code s</w:t>
      </w:r>
      <w:r w:rsidRPr="00FF2AA2">
        <w:rPr>
          <w:rFonts w:ascii="Book Antiqua" w:hAnsi="Book Antiqua"/>
        </w:rPr>
        <w:t>e</w:t>
      </w:r>
      <w:r w:rsidR="00FF2AA2" w:rsidRPr="00FF2AA2">
        <w:rPr>
          <w:rFonts w:ascii="Book Antiqua" w:hAnsi="Book Antiqua"/>
        </w:rPr>
        <w:t>ts to use for billing purposes.</w:t>
      </w:r>
      <w:r w:rsidRPr="00FF2AA2">
        <w:rPr>
          <w:rFonts w:ascii="Book Antiqua" w:hAnsi="Book Antiqua"/>
        </w:rPr>
        <w:t xml:space="preserve"> Sources of Information on t</w:t>
      </w:r>
      <w:r w:rsidR="00FF2AA2" w:rsidRPr="00FF2AA2">
        <w:rPr>
          <w:rFonts w:ascii="Book Antiqua" w:hAnsi="Book Antiqua"/>
        </w:rPr>
        <w:t>hese c</w:t>
      </w:r>
      <w:r w:rsidR="00C01BAC" w:rsidRPr="00FF2AA2">
        <w:rPr>
          <w:rFonts w:ascii="Book Antiqua" w:hAnsi="Book Antiqua"/>
        </w:rPr>
        <w:t xml:space="preserve">ode </w:t>
      </w:r>
      <w:r w:rsidR="00FF2AA2" w:rsidRPr="00FF2AA2">
        <w:rPr>
          <w:rFonts w:ascii="Book Antiqua" w:hAnsi="Book Antiqua"/>
        </w:rPr>
        <w:t>s</w:t>
      </w:r>
      <w:r w:rsidR="00C01BAC" w:rsidRPr="00FF2AA2">
        <w:rPr>
          <w:rFonts w:ascii="Book Antiqua" w:hAnsi="Book Antiqua"/>
        </w:rPr>
        <w:t>ets are as follows:</w:t>
      </w:r>
    </w:p>
    <w:p w:rsidR="00A32A31" w:rsidRPr="00FF2AA2" w:rsidRDefault="00A32A31" w:rsidP="00A32A31">
      <w:pPr>
        <w:pStyle w:val="ListParagraph"/>
        <w:rPr>
          <w:rFonts w:ascii="Book Antiqua" w:hAnsi="Book Antiqua"/>
        </w:rPr>
      </w:pPr>
    </w:p>
    <w:p w:rsidR="00A32A31" w:rsidRPr="00FF2AA2" w:rsidRDefault="0070340C" w:rsidP="00A32A31">
      <w:pPr>
        <w:pStyle w:val="BodyText2"/>
        <w:numPr>
          <w:ilvl w:val="2"/>
          <w:numId w:val="3"/>
        </w:numPr>
        <w:spacing w:after="0"/>
        <w:ind w:left="1800" w:hanging="360"/>
        <w:jc w:val="both"/>
        <w:rPr>
          <w:rFonts w:ascii="Book Antiqua" w:hAnsi="Book Antiqua"/>
        </w:rPr>
      </w:pPr>
      <w:r>
        <w:rPr>
          <w:rFonts w:ascii="Book Antiqua" w:hAnsi="Book Antiqua"/>
        </w:rPr>
        <w:t>ICD-9</w:t>
      </w:r>
      <w:r w:rsidR="00A32A31" w:rsidRPr="00FF2AA2">
        <w:rPr>
          <w:rFonts w:ascii="Book Antiqua" w:hAnsi="Book Antiqua"/>
        </w:rPr>
        <w:t xml:space="preserve">-CM; </w:t>
      </w:r>
      <w:hyperlink r:id="rId11" w:history="1">
        <w:r w:rsidR="00661200" w:rsidRPr="00FF2AA2">
          <w:rPr>
            <w:rStyle w:val="Hyperlink"/>
            <w:rFonts w:ascii="Book Antiqua" w:hAnsi="Book Antiqua"/>
          </w:rPr>
          <w:t>Government Printing Office</w:t>
        </w:r>
      </w:hyperlink>
      <w:r w:rsidR="00A32A31" w:rsidRPr="00FF2AA2">
        <w:rPr>
          <w:rFonts w:ascii="Book Antiqua" w:hAnsi="Book Antiqua"/>
        </w:rPr>
        <w:t xml:space="preserve"> (202-512-1800</w:t>
      </w:r>
      <w:r w:rsidR="00661200" w:rsidRPr="00FF2AA2">
        <w:rPr>
          <w:rFonts w:ascii="Book Antiqua" w:hAnsi="Book Antiqua"/>
        </w:rPr>
        <w:t>)</w:t>
      </w:r>
      <w:r w:rsidR="00A32A31" w:rsidRPr="00FF2AA2">
        <w:rPr>
          <w:rFonts w:ascii="Book Antiqua" w:hAnsi="Book Antiqua"/>
        </w:rPr>
        <w:t>.</w:t>
      </w:r>
    </w:p>
    <w:p w:rsidR="00A32A31" w:rsidRPr="00FF2AA2" w:rsidRDefault="00A32A31" w:rsidP="00A32A31">
      <w:pPr>
        <w:pStyle w:val="BodyText2"/>
        <w:numPr>
          <w:ilvl w:val="2"/>
          <w:numId w:val="3"/>
        </w:numPr>
        <w:spacing w:after="0"/>
        <w:ind w:left="1800" w:hanging="360"/>
        <w:jc w:val="both"/>
        <w:rPr>
          <w:rFonts w:ascii="Book Antiqua" w:hAnsi="Book Antiqua"/>
        </w:rPr>
      </w:pPr>
      <w:r w:rsidRPr="00FF2AA2">
        <w:rPr>
          <w:rFonts w:ascii="Book Antiqua" w:hAnsi="Book Antiqua"/>
        </w:rPr>
        <w:t xml:space="preserve">CPT-4; </w:t>
      </w:r>
      <w:r w:rsidR="00661200" w:rsidRPr="00FF2AA2">
        <w:rPr>
          <w:rFonts w:ascii="Book Antiqua" w:hAnsi="Book Antiqua"/>
        </w:rPr>
        <w:t>American Medical Association and other private sources</w:t>
      </w:r>
      <w:r w:rsidRPr="00FF2AA2">
        <w:rPr>
          <w:rFonts w:ascii="Book Antiqua" w:hAnsi="Book Antiqua"/>
        </w:rPr>
        <w:t>.</w:t>
      </w:r>
    </w:p>
    <w:p w:rsidR="00A32A31" w:rsidRPr="00FF2AA2" w:rsidRDefault="00697AF6" w:rsidP="00A32A31">
      <w:pPr>
        <w:pStyle w:val="BodyText2"/>
        <w:numPr>
          <w:ilvl w:val="2"/>
          <w:numId w:val="3"/>
        </w:numPr>
        <w:spacing w:after="0"/>
        <w:ind w:left="1800" w:hanging="360"/>
        <w:jc w:val="both"/>
        <w:rPr>
          <w:rFonts w:ascii="Book Antiqua" w:hAnsi="Book Antiqua"/>
        </w:rPr>
      </w:pPr>
      <w:hyperlink r:id="rId12" w:history="1">
        <w:r w:rsidR="00661200" w:rsidRPr="00FF2AA2">
          <w:rPr>
            <w:rStyle w:val="Hyperlink"/>
            <w:rFonts w:ascii="Book Antiqua" w:hAnsi="Book Antiqua"/>
          </w:rPr>
          <w:t>HCPCS</w:t>
        </w:r>
      </w:hyperlink>
      <w:r w:rsidR="00A32A31" w:rsidRPr="00FF2AA2">
        <w:rPr>
          <w:rFonts w:ascii="Book Antiqua" w:hAnsi="Book Antiqua"/>
        </w:rPr>
        <w:t>.</w:t>
      </w:r>
    </w:p>
    <w:p w:rsidR="00A32A31" w:rsidRPr="00FF2AA2" w:rsidRDefault="00661200" w:rsidP="00A32A31">
      <w:pPr>
        <w:pStyle w:val="BodyText2"/>
        <w:numPr>
          <w:ilvl w:val="2"/>
          <w:numId w:val="3"/>
        </w:numPr>
        <w:spacing w:after="0"/>
        <w:ind w:left="1800" w:hanging="360"/>
        <w:jc w:val="both"/>
        <w:rPr>
          <w:rFonts w:ascii="Book Antiqua" w:hAnsi="Book Antiqua"/>
        </w:rPr>
      </w:pPr>
      <w:r w:rsidRPr="00FF2AA2">
        <w:rPr>
          <w:rFonts w:ascii="Book Antiqua" w:hAnsi="Book Antiqua"/>
        </w:rPr>
        <w:t>C</w:t>
      </w:r>
      <w:r w:rsidR="00A32A31" w:rsidRPr="00FF2AA2">
        <w:rPr>
          <w:rFonts w:ascii="Book Antiqua" w:hAnsi="Book Antiqua"/>
        </w:rPr>
        <w:t xml:space="preserve">DT-2; </w:t>
      </w:r>
      <w:r w:rsidRPr="00FF2AA2">
        <w:rPr>
          <w:rFonts w:ascii="Book Antiqua" w:hAnsi="Book Antiqua"/>
        </w:rPr>
        <w:t>American Dental Association (1-800-947-4746)</w:t>
      </w:r>
      <w:r w:rsidR="00A32A31" w:rsidRPr="00FF2AA2">
        <w:rPr>
          <w:rFonts w:ascii="Book Antiqua" w:hAnsi="Book Antiqua"/>
        </w:rPr>
        <w:t>.</w:t>
      </w:r>
    </w:p>
    <w:p w:rsidR="00661200" w:rsidRPr="00FF2AA2" w:rsidRDefault="00697AF6" w:rsidP="00A32A31">
      <w:pPr>
        <w:pStyle w:val="BodyText2"/>
        <w:numPr>
          <w:ilvl w:val="2"/>
          <w:numId w:val="3"/>
        </w:numPr>
        <w:spacing w:after="0"/>
        <w:ind w:left="1800" w:hanging="360"/>
        <w:jc w:val="both"/>
        <w:rPr>
          <w:rFonts w:ascii="Book Antiqua" w:hAnsi="Book Antiqua"/>
        </w:rPr>
      </w:pPr>
      <w:hyperlink r:id="rId13" w:history="1">
        <w:r w:rsidR="00661200" w:rsidRPr="00FF2AA2">
          <w:rPr>
            <w:rStyle w:val="Hyperlink"/>
            <w:rFonts w:ascii="Book Antiqua" w:hAnsi="Book Antiqua"/>
            <w:lang w:val="de-DE"/>
          </w:rPr>
          <w:t>NDC</w:t>
        </w:r>
      </w:hyperlink>
      <w:r w:rsidR="00A32A31" w:rsidRPr="00FF2AA2">
        <w:rPr>
          <w:rFonts w:ascii="Book Antiqua" w:hAnsi="Book Antiqua"/>
          <w:lang w:val="de-DE"/>
        </w:rPr>
        <w:t>.</w:t>
      </w:r>
      <w:r w:rsidR="00661200" w:rsidRPr="00FF2AA2">
        <w:rPr>
          <w:rFonts w:ascii="Book Antiqua" w:hAnsi="Book Antiqua"/>
          <w:lang w:val="de-DE"/>
        </w:rPr>
        <w:t xml:space="preserve"> </w:t>
      </w:r>
    </w:p>
    <w:p w:rsidR="00C01BAC" w:rsidRPr="00FF2AA2" w:rsidRDefault="00C01BAC" w:rsidP="00C01BAC">
      <w:pPr>
        <w:pStyle w:val="BodyText2"/>
        <w:spacing w:after="0"/>
        <w:ind w:left="2160" w:firstLine="0"/>
        <w:jc w:val="both"/>
        <w:rPr>
          <w:rFonts w:ascii="Book Antiqua" w:hAnsi="Book Antiqua"/>
          <w:lang w:val="de-DE"/>
        </w:rPr>
      </w:pPr>
    </w:p>
    <w:p w:rsidR="00661200" w:rsidRPr="00FF2AA2" w:rsidRDefault="00661200" w:rsidP="00A32A31">
      <w:pPr>
        <w:pStyle w:val="BodyText2"/>
        <w:numPr>
          <w:ilvl w:val="1"/>
          <w:numId w:val="3"/>
        </w:numPr>
        <w:spacing w:after="0"/>
        <w:ind w:left="1080" w:hanging="360"/>
        <w:jc w:val="both"/>
        <w:rPr>
          <w:rFonts w:ascii="Book Antiqua" w:hAnsi="Book Antiqua"/>
        </w:rPr>
      </w:pPr>
      <w:r w:rsidRPr="00FF2AA2">
        <w:rPr>
          <w:rFonts w:ascii="Book Antiqua" w:hAnsi="Book Antiqua"/>
          <w:b/>
        </w:rPr>
        <w:t>Nati</w:t>
      </w:r>
      <w:r w:rsidR="00C01BAC" w:rsidRPr="00FF2AA2">
        <w:rPr>
          <w:rFonts w:ascii="Book Antiqua" w:hAnsi="Book Antiqua"/>
          <w:b/>
        </w:rPr>
        <w:t>onal Provider Identifiers (NPI</w:t>
      </w:r>
      <w:r w:rsidRPr="00FF2AA2">
        <w:rPr>
          <w:rFonts w:ascii="Book Antiqua" w:hAnsi="Book Antiqua"/>
          <w:b/>
        </w:rPr>
        <w:t>).</w:t>
      </w:r>
      <w:r w:rsidRPr="00FF2AA2">
        <w:rPr>
          <w:rStyle w:val="FootnoteReference"/>
          <w:rFonts w:ascii="Book Antiqua" w:hAnsi="Book Antiqua"/>
          <w:b/>
        </w:rPr>
        <w:footnoteReference w:id="13"/>
      </w:r>
      <w:r w:rsidRPr="00FF2AA2">
        <w:rPr>
          <w:rFonts w:ascii="Book Antiqua" w:hAnsi="Book Antiqua"/>
        </w:rPr>
        <w:t xml:space="preserve"> The final rule on Standard Unique Health Identifier for Health Care Providers was issued, on January 23, 2004.  These HIPAA Regulations require that Unique Identifiers (Na</w:t>
      </w:r>
      <w:r w:rsidR="00FF2AA2" w:rsidRPr="00FF2AA2">
        <w:rPr>
          <w:rFonts w:ascii="Book Antiqua" w:hAnsi="Book Antiqua"/>
        </w:rPr>
        <w:t>tional Provider Identifiers or NPIs</w:t>
      </w:r>
      <w:r w:rsidRPr="00FF2AA2">
        <w:rPr>
          <w:rFonts w:ascii="Book Antiqua" w:hAnsi="Book Antiqua"/>
        </w:rPr>
        <w:t>) be established for all employers, healthcare providers, and health plans.</w:t>
      </w:r>
      <w:r w:rsidRPr="00FF2AA2">
        <w:rPr>
          <w:rStyle w:val="FootnoteReference"/>
          <w:rFonts w:ascii="Book Antiqua" w:hAnsi="Book Antiqua"/>
        </w:rPr>
        <w:footnoteReference w:id="14"/>
      </w:r>
      <w:r w:rsidR="00FF2AA2" w:rsidRPr="00FF2AA2">
        <w:rPr>
          <w:rStyle w:val="FootnoteReference"/>
          <w:rFonts w:ascii="Book Antiqua" w:hAnsi="Book Antiqua"/>
        </w:rPr>
        <w:t xml:space="preserve"> </w:t>
      </w:r>
      <w:r w:rsidRPr="00FF2AA2">
        <w:rPr>
          <w:rFonts w:ascii="Book Antiqua" w:hAnsi="Book Antiqua"/>
        </w:rPr>
        <w:t>The NPI will be used when processing claims for Medicare, Medicaid</w:t>
      </w:r>
      <w:r w:rsidR="00FF2AA2" w:rsidRPr="00FF2AA2">
        <w:rPr>
          <w:rFonts w:ascii="Book Antiqua" w:hAnsi="Book Antiqua"/>
        </w:rPr>
        <w:t xml:space="preserve"> and private health insurance. Compliance for c</w:t>
      </w:r>
      <w:r w:rsidRPr="00FF2AA2">
        <w:rPr>
          <w:rFonts w:ascii="Book Antiqua" w:hAnsi="Book Antiqua"/>
        </w:rPr>
        <w:t xml:space="preserve">enters and their healthcare providers who bill for services was required by May 23, </w:t>
      </w:r>
      <w:r w:rsidRPr="00FF2AA2">
        <w:rPr>
          <w:rFonts w:ascii="Book Antiqua" w:hAnsi="Book Antiqua"/>
        </w:rPr>
        <w:lastRenderedPageBreak/>
        <w:t>2007.</w:t>
      </w:r>
      <w:r w:rsidRPr="00FF2AA2">
        <w:rPr>
          <w:rStyle w:val="FootnoteReference"/>
          <w:rFonts w:ascii="Book Antiqua" w:hAnsi="Book Antiqua"/>
        </w:rPr>
        <w:footnoteReference w:id="15"/>
      </w:r>
      <w:r w:rsidRPr="00FF2AA2">
        <w:rPr>
          <w:rFonts w:ascii="Book Antiqua" w:hAnsi="Book Antiqua"/>
        </w:rPr>
        <w:t xml:space="preserve">  The NPI is used when processing claims for Medicare, Medicaid and private health insurance.  </w:t>
      </w:r>
    </w:p>
    <w:p w:rsidR="00A32A31" w:rsidRPr="00FF2AA2" w:rsidRDefault="00A32A31" w:rsidP="00A32A31">
      <w:pPr>
        <w:pStyle w:val="BodyText2"/>
        <w:spacing w:after="0"/>
        <w:ind w:left="1080" w:firstLine="0"/>
        <w:jc w:val="both"/>
        <w:rPr>
          <w:rFonts w:ascii="Book Antiqua" w:hAnsi="Book Antiqua"/>
        </w:rPr>
      </w:pPr>
    </w:p>
    <w:p w:rsidR="00661200" w:rsidRPr="00FF2AA2" w:rsidRDefault="00A32A31" w:rsidP="00C01BAC">
      <w:pPr>
        <w:numPr>
          <w:ilvl w:val="0"/>
          <w:numId w:val="3"/>
        </w:numPr>
        <w:jc w:val="both"/>
        <w:rPr>
          <w:rFonts w:ascii="Book Antiqua" w:hAnsi="Book Antiqua"/>
          <w:b/>
          <w:sz w:val="24"/>
          <w:szCs w:val="24"/>
          <w:u w:val="single"/>
        </w:rPr>
      </w:pPr>
      <w:r w:rsidRPr="00FF2AA2">
        <w:rPr>
          <w:rFonts w:ascii="Book Antiqua" w:hAnsi="Book Antiqua"/>
          <w:b/>
          <w:sz w:val="24"/>
          <w:szCs w:val="24"/>
          <w:u w:val="single"/>
        </w:rPr>
        <w:t>HIPAA and ARRA Enforcement And Penalties</w:t>
      </w:r>
    </w:p>
    <w:p w:rsidR="00661200" w:rsidRPr="00FF2AA2" w:rsidRDefault="00661200" w:rsidP="00E03D35">
      <w:pPr>
        <w:ind w:left="1440"/>
        <w:jc w:val="both"/>
        <w:rPr>
          <w:rFonts w:ascii="Book Antiqua" w:hAnsi="Book Antiqua"/>
          <w:sz w:val="24"/>
          <w:szCs w:val="24"/>
        </w:rPr>
      </w:pPr>
    </w:p>
    <w:p w:rsidR="008D2654" w:rsidRPr="00FF2AA2" w:rsidRDefault="00661200" w:rsidP="008D2654">
      <w:pPr>
        <w:pStyle w:val="BodyText"/>
        <w:numPr>
          <w:ilvl w:val="1"/>
          <w:numId w:val="3"/>
        </w:numPr>
        <w:spacing w:after="0"/>
        <w:ind w:left="1080" w:hanging="360"/>
        <w:jc w:val="both"/>
        <w:rPr>
          <w:rFonts w:ascii="Book Antiqua" w:hAnsi="Book Antiqua"/>
          <w:szCs w:val="24"/>
        </w:rPr>
      </w:pPr>
      <w:r w:rsidRPr="00FF2AA2">
        <w:rPr>
          <w:rFonts w:ascii="Book Antiqua" w:hAnsi="Book Antiqua"/>
          <w:b/>
          <w:szCs w:val="24"/>
        </w:rPr>
        <w:t>Enforcement</w:t>
      </w:r>
      <w:r w:rsidR="008D2654" w:rsidRPr="00FF2AA2">
        <w:rPr>
          <w:rFonts w:ascii="Book Antiqua" w:hAnsi="Book Antiqua"/>
          <w:b/>
          <w:szCs w:val="24"/>
        </w:rPr>
        <w:t>.</w:t>
      </w:r>
      <w:r w:rsidR="008D2654" w:rsidRPr="00FF2AA2">
        <w:rPr>
          <w:rFonts w:ascii="Book Antiqua" w:hAnsi="Book Antiqua"/>
          <w:szCs w:val="24"/>
        </w:rPr>
        <w:t xml:space="preserve"> </w:t>
      </w:r>
      <w:r w:rsidRPr="00FF2AA2">
        <w:rPr>
          <w:rFonts w:ascii="Book Antiqua" w:hAnsi="Book Antiqua"/>
          <w:szCs w:val="24"/>
        </w:rPr>
        <w:t>HIPAA enforcement began as more of an outreach and education effort, supplemented by a complaint-driven process, with rare egregious cases being referred to the U.S. Department of Justice for criminal prosecution.  ARRA reflects a marked change in enforcement philosophy.  Authority to enforce HIPAA Privacy and Security components is now consolidated under the HHS Office for Civil Rights (rather than shared with CMS).</w:t>
      </w:r>
      <w:r w:rsidRPr="00FF2AA2">
        <w:rPr>
          <w:rStyle w:val="FootnoteReference"/>
          <w:rFonts w:ascii="Book Antiqua" w:hAnsi="Book Antiqua"/>
          <w:szCs w:val="24"/>
        </w:rPr>
        <w:footnoteReference w:id="16"/>
      </w:r>
      <w:r w:rsidRPr="00FF2AA2">
        <w:rPr>
          <w:rStyle w:val="FootnoteReference"/>
          <w:rFonts w:ascii="Book Antiqua" w:hAnsi="Book Antiqua"/>
          <w:szCs w:val="24"/>
        </w:rPr>
        <w:t xml:space="preserve"> </w:t>
      </w:r>
      <w:r w:rsidRPr="00FF2AA2">
        <w:rPr>
          <w:rFonts w:ascii="Book Antiqua" w:hAnsi="Book Antiqua"/>
          <w:szCs w:val="24"/>
        </w:rPr>
        <w:t xml:space="preserve">  Significantly, ARRA created multiple new enforcement mechanisms and tools, which will be phased in over the next few years, including:</w:t>
      </w:r>
    </w:p>
    <w:p w:rsidR="008D2654" w:rsidRPr="00FF2AA2" w:rsidRDefault="00661200" w:rsidP="008D2654">
      <w:pPr>
        <w:pStyle w:val="BodyText"/>
        <w:numPr>
          <w:ilvl w:val="2"/>
          <w:numId w:val="3"/>
        </w:numPr>
        <w:spacing w:after="0"/>
        <w:ind w:left="1800" w:hanging="360"/>
        <w:jc w:val="both"/>
        <w:rPr>
          <w:rFonts w:ascii="Book Antiqua" w:hAnsi="Book Antiqua"/>
          <w:szCs w:val="24"/>
        </w:rPr>
      </w:pPr>
      <w:r w:rsidRPr="00FF2AA2">
        <w:rPr>
          <w:rFonts w:ascii="Book Antiqua" w:hAnsi="Book Antiqua"/>
        </w:rPr>
        <w:t>Authorizing State Attorneys General (AGs) to bring civil actions in federal district court in cases where they believe that state residents are harmed by a HIPAA violation; State AGs may seek statutory damages, injunctive relief and attorney fees</w:t>
      </w:r>
      <w:r w:rsidR="008D2654" w:rsidRPr="00FF2AA2">
        <w:rPr>
          <w:rFonts w:ascii="Book Antiqua" w:hAnsi="Book Antiqua"/>
        </w:rPr>
        <w:t>.</w:t>
      </w:r>
    </w:p>
    <w:p w:rsidR="008D2654" w:rsidRPr="00FF2AA2" w:rsidRDefault="00661200" w:rsidP="008D2654">
      <w:pPr>
        <w:pStyle w:val="BodyText"/>
        <w:numPr>
          <w:ilvl w:val="2"/>
          <w:numId w:val="3"/>
        </w:numPr>
        <w:spacing w:after="0"/>
        <w:ind w:left="1800" w:hanging="360"/>
        <w:jc w:val="both"/>
        <w:rPr>
          <w:rFonts w:ascii="Book Antiqua" w:hAnsi="Book Antiqua"/>
          <w:szCs w:val="24"/>
        </w:rPr>
      </w:pPr>
      <w:r w:rsidRPr="00FF2AA2">
        <w:rPr>
          <w:rFonts w:ascii="Book Antiqua" w:hAnsi="Book Antiqua"/>
        </w:rPr>
        <w:t>Requiring the Secretary of HHS to conduct periodic audits of covered entities and business associates</w:t>
      </w:r>
      <w:r w:rsidR="008D2654" w:rsidRPr="00FF2AA2">
        <w:rPr>
          <w:rFonts w:ascii="Book Antiqua" w:hAnsi="Book Antiqua"/>
        </w:rPr>
        <w:t>.</w:t>
      </w:r>
    </w:p>
    <w:p w:rsidR="008D2654" w:rsidRPr="00FF2AA2" w:rsidRDefault="00661200" w:rsidP="008D2654">
      <w:pPr>
        <w:pStyle w:val="BodyText"/>
        <w:numPr>
          <w:ilvl w:val="2"/>
          <w:numId w:val="3"/>
        </w:numPr>
        <w:spacing w:after="0"/>
        <w:ind w:left="1800" w:hanging="360"/>
        <w:jc w:val="both"/>
        <w:rPr>
          <w:rFonts w:ascii="Book Antiqua" w:hAnsi="Book Antiqua"/>
          <w:szCs w:val="24"/>
        </w:rPr>
      </w:pPr>
      <w:r w:rsidRPr="00FF2AA2">
        <w:rPr>
          <w:rFonts w:ascii="Book Antiqua" w:hAnsi="Book Antiqua"/>
        </w:rPr>
        <w:t>Requiring the Secretary of HHS to investigate complaints and impose CMPs where a violation is be due to willful neglect (corrective action plans will remain an option where there is no finding of willful neglect)</w:t>
      </w:r>
      <w:r w:rsidR="008D2654" w:rsidRPr="00FF2AA2">
        <w:rPr>
          <w:rFonts w:ascii="Book Antiqua" w:hAnsi="Book Antiqua"/>
        </w:rPr>
        <w:t>.</w:t>
      </w:r>
    </w:p>
    <w:p w:rsidR="00661200" w:rsidRPr="00FF2AA2" w:rsidRDefault="00FF2AA2" w:rsidP="008D2654">
      <w:pPr>
        <w:pStyle w:val="BodyText"/>
        <w:numPr>
          <w:ilvl w:val="2"/>
          <w:numId w:val="3"/>
        </w:numPr>
        <w:spacing w:after="0"/>
        <w:ind w:left="1800" w:hanging="360"/>
        <w:jc w:val="both"/>
        <w:rPr>
          <w:rFonts w:ascii="Book Antiqua" w:hAnsi="Book Antiqua"/>
          <w:szCs w:val="24"/>
        </w:rPr>
      </w:pPr>
      <w:r w:rsidRPr="00FF2AA2">
        <w:rPr>
          <w:rFonts w:ascii="Book Antiqua" w:hAnsi="Book Antiqua"/>
        </w:rPr>
        <w:t>Civil monetary penalties (CMPs</w:t>
      </w:r>
      <w:r w:rsidR="00661200" w:rsidRPr="00FF2AA2">
        <w:rPr>
          <w:rFonts w:ascii="Book Antiqua" w:hAnsi="Book Antiqua"/>
        </w:rPr>
        <w:t>) collected for violations are to be shared with OCR to fund HIPAA enforcement and also possibly with harmed individuals</w:t>
      </w:r>
      <w:r w:rsidR="008D2654" w:rsidRPr="00FF2AA2">
        <w:rPr>
          <w:rFonts w:ascii="Book Antiqua" w:hAnsi="Book Antiqua"/>
        </w:rPr>
        <w:t>.</w:t>
      </w:r>
    </w:p>
    <w:p w:rsidR="008D2654" w:rsidRPr="00FF2AA2" w:rsidRDefault="008D2654" w:rsidP="008D2654">
      <w:pPr>
        <w:pStyle w:val="BodyText"/>
        <w:spacing w:after="0"/>
        <w:ind w:left="1800"/>
        <w:jc w:val="both"/>
        <w:rPr>
          <w:rFonts w:ascii="Book Antiqua" w:hAnsi="Book Antiqua"/>
          <w:szCs w:val="24"/>
        </w:rPr>
      </w:pPr>
    </w:p>
    <w:p w:rsidR="00661200" w:rsidRPr="00FF2AA2" w:rsidRDefault="00661200" w:rsidP="008D2654">
      <w:pPr>
        <w:pStyle w:val="BodyText"/>
        <w:numPr>
          <w:ilvl w:val="1"/>
          <w:numId w:val="3"/>
        </w:numPr>
        <w:spacing w:after="0"/>
        <w:ind w:left="1080" w:hanging="360"/>
        <w:jc w:val="both"/>
        <w:rPr>
          <w:rFonts w:ascii="Book Antiqua" w:hAnsi="Book Antiqua"/>
          <w:szCs w:val="24"/>
        </w:rPr>
      </w:pPr>
      <w:r w:rsidRPr="00FF2AA2">
        <w:rPr>
          <w:rFonts w:ascii="Book Antiqua" w:hAnsi="Book Antiqua"/>
          <w:b/>
          <w:szCs w:val="24"/>
        </w:rPr>
        <w:t>Penalties</w:t>
      </w:r>
      <w:r w:rsidR="008D2654" w:rsidRPr="00FF2AA2">
        <w:rPr>
          <w:rFonts w:ascii="Book Antiqua" w:hAnsi="Book Antiqua"/>
          <w:b/>
          <w:szCs w:val="24"/>
        </w:rPr>
        <w:t>.</w:t>
      </w:r>
      <w:r w:rsidR="008D2654" w:rsidRPr="00FF2AA2">
        <w:rPr>
          <w:rFonts w:ascii="Book Antiqua" w:hAnsi="Book Antiqua"/>
          <w:szCs w:val="24"/>
        </w:rPr>
        <w:t xml:space="preserve"> </w:t>
      </w:r>
      <w:r w:rsidRPr="00FF2AA2">
        <w:rPr>
          <w:rFonts w:ascii="Book Antiqua" w:hAnsi="Book Antiqua"/>
          <w:szCs w:val="24"/>
        </w:rPr>
        <w:t xml:space="preserve">ARRA dramatically expanded the HIPAA penalty regime and extended it to apply directly to business associates.  Before ARRA, violations carried a penalty of not more than $100 per violation, with an aggregate limit of $25,000 for all violations of an identical requirement or prohibition during a calendar year.  </w:t>
      </w:r>
    </w:p>
    <w:p w:rsidR="00661200" w:rsidRPr="00FF2AA2" w:rsidRDefault="00661200" w:rsidP="008D2654">
      <w:pPr>
        <w:pStyle w:val="BodyText"/>
        <w:numPr>
          <w:ilvl w:val="2"/>
          <w:numId w:val="3"/>
        </w:numPr>
        <w:spacing w:after="0"/>
        <w:ind w:left="1800" w:hanging="360"/>
        <w:jc w:val="both"/>
        <w:rPr>
          <w:rFonts w:ascii="Book Antiqua" w:hAnsi="Book Antiqua"/>
          <w:szCs w:val="24"/>
        </w:rPr>
      </w:pPr>
      <w:r w:rsidRPr="00FF2AA2">
        <w:rPr>
          <w:rFonts w:ascii="Book Antiqua" w:hAnsi="Book Antiqua"/>
          <w:szCs w:val="24"/>
        </w:rPr>
        <w:t>Civil Penalties</w:t>
      </w:r>
      <w:r w:rsidR="008D2654" w:rsidRPr="00FF2AA2">
        <w:rPr>
          <w:rFonts w:ascii="Book Antiqua" w:hAnsi="Book Antiqua"/>
          <w:szCs w:val="24"/>
        </w:rPr>
        <w:t xml:space="preserve">. </w:t>
      </w:r>
      <w:r w:rsidRPr="00FF2AA2">
        <w:rPr>
          <w:rFonts w:ascii="Book Antiqua" w:hAnsi="Book Antiqua"/>
          <w:szCs w:val="24"/>
        </w:rPr>
        <w:t xml:space="preserve">ARRA created a tiered penalty regime with a maximum penalty of $1.5 million per year.  Penalties are based on:  whether or not a Covered Entity (including physicians) knew of a breach of privacy; whether the breach was due to reasonable cause and not willful neglect; or whether the breach was due to willful neglect.  The Secretary has discretion to determine the amount of penalty based on the nature and extent of the violation and the extent of the harm resulting from the violation. </w:t>
      </w:r>
    </w:p>
    <w:p w:rsidR="008D2654" w:rsidRPr="00FF2AA2" w:rsidRDefault="00661200" w:rsidP="008D2654">
      <w:pPr>
        <w:pStyle w:val="BodyText2"/>
        <w:numPr>
          <w:ilvl w:val="0"/>
          <w:numId w:val="10"/>
        </w:numPr>
        <w:spacing w:after="0"/>
        <w:jc w:val="both"/>
        <w:rPr>
          <w:rFonts w:ascii="Book Antiqua" w:hAnsi="Book Antiqua"/>
        </w:rPr>
      </w:pPr>
      <w:r w:rsidRPr="00FF2AA2">
        <w:rPr>
          <w:rFonts w:ascii="Book Antiqua" w:hAnsi="Book Antiqua"/>
        </w:rPr>
        <w:lastRenderedPageBreak/>
        <w:t>Unknowing violation</w:t>
      </w:r>
      <w:r w:rsidR="00FF2AA2" w:rsidRPr="00FF2AA2">
        <w:rPr>
          <w:rFonts w:ascii="Book Antiqua" w:hAnsi="Book Antiqua"/>
        </w:rPr>
        <w:t xml:space="preserve"> - </w:t>
      </w:r>
      <w:r w:rsidRPr="00FF2AA2">
        <w:rPr>
          <w:rFonts w:ascii="Book Antiqua" w:hAnsi="Book Antiqua"/>
        </w:rPr>
        <w:t>$100 per violation, not to exceed $25,000 per year</w:t>
      </w:r>
      <w:r w:rsidR="008D2654" w:rsidRPr="00FF2AA2">
        <w:rPr>
          <w:rFonts w:ascii="Book Antiqua" w:hAnsi="Book Antiqua"/>
        </w:rPr>
        <w:t>.</w:t>
      </w:r>
    </w:p>
    <w:p w:rsidR="008D2654" w:rsidRPr="00FF2AA2" w:rsidRDefault="00661200" w:rsidP="008D2654">
      <w:pPr>
        <w:pStyle w:val="BodyText2"/>
        <w:numPr>
          <w:ilvl w:val="0"/>
          <w:numId w:val="10"/>
        </w:numPr>
        <w:spacing w:after="0"/>
        <w:jc w:val="both"/>
        <w:rPr>
          <w:rFonts w:ascii="Book Antiqua" w:hAnsi="Book Antiqua"/>
        </w:rPr>
      </w:pPr>
      <w:r w:rsidRPr="00FF2AA2">
        <w:rPr>
          <w:rFonts w:ascii="Book Antiqua" w:hAnsi="Book Antiqua"/>
        </w:rPr>
        <w:t>Reasonable</w:t>
      </w:r>
      <w:r w:rsidR="00FF2AA2" w:rsidRPr="00FF2AA2">
        <w:rPr>
          <w:rFonts w:ascii="Book Antiqua" w:hAnsi="Book Antiqua"/>
        </w:rPr>
        <w:t xml:space="preserve"> cause - </w:t>
      </w:r>
      <w:r w:rsidRPr="00FF2AA2">
        <w:rPr>
          <w:rFonts w:ascii="Book Antiqua" w:hAnsi="Book Antiqua"/>
        </w:rPr>
        <w:t>$1,000 per violation, not to exceed $10,000 per year</w:t>
      </w:r>
      <w:r w:rsidR="008D2654" w:rsidRPr="00FF2AA2">
        <w:rPr>
          <w:rFonts w:ascii="Book Antiqua" w:hAnsi="Book Antiqua"/>
        </w:rPr>
        <w:t>.</w:t>
      </w:r>
    </w:p>
    <w:p w:rsidR="008D2654" w:rsidRPr="00FF2AA2" w:rsidRDefault="00FF2AA2" w:rsidP="008D2654">
      <w:pPr>
        <w:pStyle w:val="BodyText2"/>
        <w:numPr>
          <w:ilvl w:val="0"/>
          <w:numId w:val="10"/>
        </w:numPr>
        <w:spacing w:after="0"/>
        <w:jc w:val="both"/>
        <w:rPr>
          <w:rFonts w:ascii="Book Antiqua" w:hAnsi="Book Antiqua"/>
        </w:rPr>
      </w:pPr>
      <w:r w:rsidRPr="00FF2AA2">
        <w:rPr>
          <w:rFonts w:ascii="Book Antiqua" w:hAnsi="Book Antiqua"/>
        </w:rPr>
        <w:t>Willful neglect - i</w:t>
      </w:r>
      <w:r w:rsidR="00661200" w:rsidRPr="00FF2AA2">
        <w:rPr>
          <w:rFonts w:ascii="Book Antiqua" w:hAnsi="Book Antiqua"/>
        </w:rPr>
        <w:t>f corrected, $10,000 per violation, not to exceed $250,000 per year</w:t>
      </w:r>
      <w:r w:rsidR="008D2654" w:rsidRPr="00FF2AA2">
        <w:rPr>
          <w:rFonts w:ascii="Book Antiqua" w:hAnsi="Book Antiqua"/>
        </w:rPr>
        <w:t>.</w:t>
      </w:r>
    </w:p>
    <w:p w:rsidR="00661200" w:rsidRPr="00FF2AA2" w:rsidRDefault="00FF2AA2" w:rsidP="008D2654">
      <w:pPr>
        <w:pStyle w:val="BodyText2"/>
        <w:numPr>
          <w:ilvl w:val="0"/>
          <w:numId w:val="10"/>
        </w:numPr>
        <w:spacing w:after="0"/>
        <w:jc w:val="both"/>
        <w:rPr>
          <w:rFonts w:ascii="Book Antiqua" w:hAnsi="Book Antiqua"/>
        </w:rPr>
      </w:pPr>
      <w:r w:rsidRPr="00FF2AA2">
        <w:rPr>
          <w:rFonts w:ascii="Book Antiqua" w:hAnsi="Book Antiqua"/>
        </w:rPr>
        <w:t xml:space="preserve">Willful neglect - </w:t>
      </w:r>
      <w:r w:rsidR="00661200" w:rsidRPr="00FF2AA2">
        <w:rPr>
          <w:rFonts w:ascii="Book Antiqua" w:hAnsi="Book Antiqua"/>
        </w:rPr>
        <w:t>if not corrected, $50,000 per violation, not to exceed $1.5 million per year</w:t>
      </w:r>
    </w:p>
    <w:p w:rsidR="00661200" w:rsidRPr="00FF2AA2" w:rsidRDefault="00661200" w:rsidP="008D2654">
      <w:pPr>
        <w:pStyle w:val="BodyText"/>
        <w:numPr>
          <w:ilvl w:val="2"/>
          <w:numId w:val="3"/>
        </w:numPr>
        <w:spacing w:after="0"/>
        <w:jc w:val="both"/>
        <w:rPr>
          <w:rFonts w:ascii="Book Antiqua" w:hAnsi="Book Antiqua"/>
          <w:szCs w:val="24"/>
        </w:rPr>
      </w:pPr>
      <w:r w:rsidRPr="00FF2AA2">
        <w:rPr>
          <w:rFonts w:ascii="Book Antiqua" w:hAnsi="Book Antiqua"/>
          <w:iCs/>
          <w:szCs w:val="24"/>
        </w:rPr>
        <w:t>Criminal Penalties</w:t>
      </w:r>
      <w:r w:rsidR="008D2654" w:rsidRPr="00FF2AA2">
        <w:rPr>
          <w:rFonts w:ascii="Book Antiqua" w:hAnsi="Book Antiqua"/>
          <w:szCs w:val="24"/>
        </w:rPr>
        <w:t xml:space="preserve">. </w:t>
      </w:r>
      <w:r w:rsidRPr="00FF2AA2">
        <w:rPr>
          <w:rFonts w:ascii="Book Antiqua" w:hAnsi="Book Antiqua"/>
          <w:szCs w:val="24"/>
        </w:rPr>
        <w:t xml:space="preserve">Under ARRA, criminal penalties can range up to $50,000 and 1 year in prison for certain offenses; up to $100,000 and up to 5 years in prison if the offenses are committed under false pretenses; and up to $250,000 and up to 10 years in prison if the offenses are committed with the intent to sell, transfer or use PHI for commercial advantage, personal gain or malicious harm.  ARRA expressly applies HIPAA criminal penalties to business associates and to employees of </w:t>
      </w:r>
      <w:r w:rsidR="00FF2AA2" w:rsidRPr="00FF2AA2">
        <w:rPr>
          <w:rFonts w:ascii="Book Antiqua" w:hAnsi="Book Antiqua"/>
          <w:szCs w:val="24"/>
        </w:rPr>
        <w:t>c</w:t>
      </w:r>
      <w:r w:rsidRPr="00FF2AA2">
        <w:rPr>
          <w:rFonts w:ascii="Book Antiqua" w:hAnsi="Book Antiqua"/>
          <w:szCs w:val="24"/>
        </w:rPr>
        <w:t xml:space="preserve">overed </w:t>
      </w:r>
      <w:r w:rsidR="00FF2AA2" w:rsidRPr="00FF2AA2">
        <w:rPr>
          <w:rFonts w:ascii="Book Antiqua" w:hAnsi="Book Antiqua"/>
          <w:szCs w:val="24"/>
        </w:rPr>
        <w:t>e</w:t>
      </w:r>
      <w:r w:rsidRPr="00FF2AA2">
        <w:rPr>
          <w:rFonts w:ascii="Book Antiqua" w:hAnsi="Book Antiqua"/>
          <w:szCs w:val="24"/>
        </w:rPr>
        <w:t xml:space="preserve">ntities. </w:t>
      </w:r>
    </w:p>
    <w:p w:rsidR="008D2654" w:rsidRPr="00FF2AA2" w:rsidRDefault="008D2654" w:rsidP="008D2654">
      <w:pPr>
        <w:pStyle w:val="BodyText"/>
        <w:spacing w:after="0"/>
        <w:ind w:left="2160"/>
        <w:jc w:val="both"/>
        <w:rPr>
          <w:rFonts w:ascii="Book Antiqua" w:hAnsi="Book Antiqua"/>
          <w:szCs w:val="24"/>
        </w:rPr>
      </w:pPr>
    </w:p>
    <w:p w:rsidR="00661200" w:rsidRPr="00FF2AA2" w:rsidRDefault="00661200" w:rsidP="00C01BAC">
      <w:pPr>
        <w:pStyle w:val="BodyText"/>
        <w:numPr>
          <w:ilvl w:val="0"/>
          <w:numId w:val="3"/>
        </w:numPr>
        <w:spacing w:after="0"/>
        <w:jc w:val="both"/>
        <w:rPr>
          <w:rFonts w:ascii="Book Antiqua" w:hAnsi="Book Antiqua"/>
          <w:b/>
          <w:szCs w:val="24"/>
          <w:u w:val="single"/>
        </w:rPr>
      </w:pPr>
      <w:r w:rsidRPr="00FF2AA2">
        <w:rPr>
          <w:rFonts w:ascii="Book Antiqua" w:hAnsi="Book Antiqua"/>
          <w:b/>
          <w:szCs w:val="24"/>
          <w:u w:val="single"/>
        </w:rPr>
        <w:t xml:space="preserve">HHS </w:t>
      </w:r>
      <w:r w:rsidR="008D2654" w:rsidRPr="00FF2AA2">
        <w:rPr>
          <w:rFonts w:ascii="Book Antiqua" w:hAnsi="Book Antiqua"/>
          <w:b/>
          <w:szCs w:val="24"/>
          <w:u w:val="single"/>
        </w:rPr>
        <w:t>Guidance</w:t>
      </w:r>
    </w:p>
    <w:p w:rsidR="008D2654" w:rsidRPr="00FF2AA2" w:rsidRDefault="008D2654" w:rsidP="008D2654">
      <w:pPr>
        <w:pStyle w:val="BodyText"/>
        <w:spacing w:after="0"/>
        <w:ind w:left="720"/>
        <w:jc w:val="both"/>
        <w:rPr>
          <w:rFonts w:ascii="Book Antiqua" w:hAnsi="Book Antiqua"/>
          <w:b/>
          <w:szCs w:val="24"/>
        </w:rPr>
      </w:pPr>
    </w:p>
    <w:p w:rsidR="00661200" w:rsidRPr="00FF2AA2" w:rsidRDefault="00661200" w:rsidP="008D2654">
      <w:pPr>
        <w:pStyle w:val="BodyText"/>
        <w:numPr>
          <w:ilvl w:val="1"/>
          <w:numId w:val="3"/>
        </w:numPr>
        <w:spacing w:after="0"/>
        <w:ind w:left="1080" w:hanging="360"/>
        <w:jc w:val="both"/>
        <w:rPr>
          <w:rFonts w:ascii="Book Antiqua" w:hAnsi="Book Antiqua"/>
          <w:szCs w:val="24"/>
        </w:rPr>
      </w:pPr>
      <w:r w:rsidRPr="00FF2AA2">
        <w:rPr>
          <w:rFonts w:ascii="Book Antiqua" w:hAnsi="Book Antiqua"/>
          <w:b/>
          <w:szCs w:val="24"/>
        </w:rPr>
        <w:t>Privacy Guidance.</w:t>
      </w:r>
      <w:r w:rsidRPr="00FF2AA2">
        <w:rPr>
          <w:rFonts w:ascii="Book Antiqua" w:hAnsi="Book Antiqua"/>
          <w:szCs w:val="24"/>
        </w:rPr>
        <w:t xml:space="preserve"> HHS has issued guidance to assist </w:t>
      </w:r>
      <w:r w:rsidR="00FF2AA2" w:rsidRPr="00FF2AA2">
        <w:rPr>
          <w:rFonts w:ascii="Book Antiqua" w:hAnsi="Book Antiqua"/>
          <w:szCs w:val="24"/>
        </w:rPr>
        <w:t>covered e</w:t>
      </w:r>
      <w:r w:rsidRPr="00FF2AA2">
        <w:rPr>
          <w:rFonts w:ascii="Book Antiqua" w:hAnsi="Book Antiqua"/>
          <w:szCs w:val="24"/>
        </w:rPr>
        <w:t xml:space="preserve">ntities in complying with the HIPAA Privacy Regulations, including a searchable collection </w:t>
      </w:r>
      <w:r w:rsidR="008D2654" w:rsidRPr="00FF2AA2">
        <w:rPr>
          <w:rFonts w:ascii="Book Antiqua" w:hAnsi="Book Antiqua"/>
          <w:szCs w:val="24"/>
        </w:rPr>
        <w:t xml:space="preserve">of frequently asked questions. </w:t>
      </w:r>
      <w:r w:rsidRPr="00FF2AA2">
        <w:rPr>
          <w:rFonts w:ascii="Book Antiqua" w:hAnsi="Book Antiqua"/>
          <w:szCs w:val="24"/>
        </w:rPr>
        <w:t>These materials are available at</w:t>
      </w:r>
      <w:r w:rsidR="008D2654" w:rsidRPr="00FF2AA2">
        <w:rPr>
          <w:rFonts w:ascii="Book Antiqua" w:hAnsi="Book Antiqua"/>
          <w:szCs w:val="24"/>
        </w:rPr>
        <w:t xml:space="preserve"> the </w:t>
      </w:r>
      <w:hyperlink r:id="rId14" w:history="1">
        <w:r w:rsidR="008D2654" w:rsidRPr="00FF2AA2">
          <w:rPr>
            <w:rStyle w:val="Hyperlink"/>
            <w:rFonts w:ascii="Book Antiqua" w:hAnsi="Book Antiqua"/>
            <w:szCs w:val="24"/>
          </w:rPr>
          <w:t>U.S. Department of Health &amp; Human Services</w:t>
        </w:r>
      </w:hyperlink>
      <w:r w:rsidR="008D2654" w:rsidRPr="00FF2AA2">
        <w:rPr>
          <w:rFonts w:ascii="Book Antiqua" w:hAnsi="Book Antiqua"/>
          <w:szCs w:val="24"/>
        </w:rPr>
        <w:t xml:space="preserve"> website. </w:t>
      </w:r>
    </w:p>
    <w:p w:rsidR="008D2654" w:rsidRPr="00FF2AA2" w:rsidRDefault="008D2654" w:rsidP="008D2654">
      <w:pPr>
        <w:pStyle w:val="BodyText"/>
        <w:spacing w:after="0"/>
        <w:ind w:left="1080"/>
        <w:jc w:val="both"/>
        <w:rPr>
          <w:rFonts w:ascii="Book Antiqua" w:hAnsi="Book Antiqua"/>
          <w:szCs w:val="24"/>
        </w:rPr>
      </w:pPr>
    </w:p>
    <w:p w:rsidR="00661200" w:rsidRPr="00FF2AA2" w:rsidRDefault="00661200" w:rsidP="008D2654">
      <w:pPr>
        <w:pStyle w:val="BodyText"/>
        <w:numPr>
          <w:ilvl w:val="1"/>
          <w:numId w:val="3"/>
        </w:numPr>
        <w:spacing w:after="0"/>
        <w:ind w:left="1080" w:hanging="360"/>
        <w:jc w:val="both"/>
        <w:rPr>
          <w:rFonts w:ascii="Book Antiqua" w:hAnsi="Book Antiqua"/>
          <w:szCs w:val="24"/>
        </w:rPr>
      </w:pPr>
      <w:r w:rsidRPr="00FF2AA2">
        <w:rPr>
          <w:rFonts w:ascii="Book Antiqua" w:hAnsi="Book Antiqua"/>
          <w:b/>
          <w:szCs w:val="24"/>
        </w:rPr>
        <w:t>Security Guidance.</w:t>
      </w:r>
      <w:r w:rsidRPr="00FF2AA2">
        <w:rPr>
          <w:rFonts w:ascii="Book Antiqua" w:hAnsi="Book Antiqua"/>
          <w:szCs w:val="24"/>
        </w:rPr>
        <w:t xml:space="preserve"> HHS has issued a series of technica</w:t>
      </w:r>
      <w:r w:rsidR="00FF2AA2" w:rsidRPr="00FF2AA2">
        <w:rPr>
          <w:rFonts w:ascii="Book Antiqua" w:hAnsi="Book Antiqua"/>
          <w:szCs w:val="24"/>
        </w:rPr>
        <w:t>l guidance documents to assist covered e</w:t>
      </w:r>
      <w:r w:rsidRPr="00FF2AA2">
        <w:rPr>
          <w:rFonts w:ascii="Book Antiqua" w:hAnsi="Book Antiqua"/>
          <w:szCs w:val="24"/>
        </w:rPr>
        <w:t>ntities in complying with the HIPAA Security Regulations. These materials are available at</w:t>
      </w:r>
      <w:r w:rsidR="008D2654" w:rsidRPr="00FF2AA2">
        <w:rPr>
          <w:rFonts w:ascii="Book Antiqua" w:hAnsi="Book Antiqua"/>
          <w:szCs w:val="24"/>
        </w:rPr>
        <w:t xml:space="preserve"> U</w:t>
      </w:r>
      <w:r w:rsidR="00753BB8" w:rsidRPr="00FF2AA2">
        <w:rPr>
          <w:rFonts w:ascii="Book Antiqua" w:hAnsi="Book Antiqua"/>
          <w:szCs w:val="24"/>
        </w:rPr>
        <w:t xml:space="preserve">.S. Department of Health &amp; Human Services </w:t>
      </w:r>
      <w:hyperlink r:id="rId15" w:history="1">
        <w:r w:rsidR="00753BB8" w:rsidRPr="00FF2AA2">
          <w:rPr>
            <w:rStyle w:val="Hyperlink"/>
            <w:rFonts w:ascii="Book Antiqua" w:hAnsi="Book Antiqua"/>
            <w:szCs w:val="24"/>
          </w:rPr>
          <w:t>Center for Medicare &amp; Medicaid Services</w:t>
        </w:r>
      </w:hyperlink>
      <w:r w:rsidR="00753BB8" w:rsidRPr="00FF2AA2">
        <w:rPr>
          <w:rFonts w:ascii="Book Antiqua" w:hAnsi="Book Antiqua"/>
          <w:szCs w:val="24"/>
        </w:rPr>
        <w:t>.</w:t>
      </w:r>
    </w:p>
    <w:p w:rsidR="008D2654" w:rsidRPr="00FF2AA2" w:rsidRDefault="008D2654" w:rsidP="008D2654">
      <w:pPr>
        <w:pStyle w:val="ListParagraph"/>
        <w:rPr>
          <w:rFonts w:ascii="Book Antiqua" w:hAnsi="Book Antiqua"/>
          <w:szCs w:val="24"/>
        </w:rPr>
      </w:pPr>
    </w:p>
    <w:p w:rsidR="00661200" w:rsidRPr="00FF2AA2" w:rsidRDefault="008D2654" w:rsidP="00C01BAC">
      <w:pPr>
        <w:numPr>
          <w:ilvl w:val="0"/>
          <w:numId w:val="3"/>
        </w:numPr>
        <w:jc w:val="both"/>
        <w:rPr>
          <w:rFonts w:ascii="Book Antiqua" w:hAnsi="Book Antiqua"/>
          <w:b/>
          <w:sz w:val="24"/>
          <w:szCs w:val="24"/>
          <w:u w:val="single"/>
        </w:rPr>
      </w:pPr>
      <w:r w:rsidRPr="00FF2AA2">
        <w:rPr>
          <w:rFonts w:ascii="Book Antiqua" w:hAnsi="Book Antiqua"/>
          <w:b/>
          <w:sz w:val="24"/>
          <w:szCs w:val="24"/>
          <w:u w:val="single"/>
        </w:rPr>
        <w:t>Board Responsibility For Protecting Patient Privacy</w:t>
      </w:r>
    </w:p>
    <w:p w:rsidR="00661200" w:rsidRPr="00FF2AA2" w:rsidRDefault="00661200" w:rsidP="00E03D35">
      <w:pPr>
        <w:jc w:val="both"/>
        <w:rPr>
          <w:rFonts w:ascii="Book Antiqua" w:hAnsi="Book Antiqua"/>
          <w:b/>
          <w:sz w:val="24"/>
          <w:szCs w:val="24"/>
        </w:rPr>
      </w:pPr>
    </w:p>
    <w:p w:rsidR="00753BB8" w:rsidRPr="00FF2AA2" w:rsidRDefault="00661200" w:rsidP="00753BB8">
      <w:pPr>
        <w:numPr>
          <w:ilvl w:val="1"/>
          <w:numId w:val="3"/>
        </w:numPr>
        <w:ind w:left="1080" w:hanging="360"/>
        <w:jc w:val="both"/>
        <w:rPr>
          <w:rFonts w:ascii="Book Antiqua" w:hAnsi="Book Antiqua"/>
          <w:bCs/>
          <w:sz w:val="24"/>
          <w:szCs w:val="24"/>
        </w:rPr>
      </w:pPr>
      <w:r w:rsidRPr="00FF2AA2">
        <w:rPr>
          <w:rFonts w:ascii="Book Antiqua" w:hAnsi="Book Antiqua"/>
          <w:b/>
          <w:bCs/>
          <w:sz w:val="24"/>
          <w:szCs w:val="24"/>
        </w:rPr>
        <w:t>Role of the Board.</w:t>
      </w:r>
      <w:r w:rsidR="00753BB8" w:rsidRPr="00FF2AA2">
        <w:rPr>
          <w:rFonts w:ascii="Book Antiqua" w:hAnsi="Book Antiqua"/>
          <w:bCs/>
          <w:sz w:val="24"/>
          <w:szCs w:val="24"/>
        </w:rPr>
        <w:t xml:space="preserve"> </w:t>
      </w:r>
      <w:r w:rsidRPr="00FF2AA2">
        <w:rPr>
          <w:rFonts w:ascii="Book Antiqua" w:hAnsi="Book Antiqua"/>
          <w:sz w:val="24"/>
          <w:szCs w:val="24"/>
        </w:rPr>
        <w:t xml:space="preserve">While key persons (such </w:t>
      </w:r>
      <w:r w:rsidR="00FF2AA2" w:rsidRPr="00FF2AA2">
        <w:rPr>
          <w:rFonts w:ascii="Book Antiqua" w:hAnsi="Book Antiqua"/>
          <w:sz w:val="24"/>
          <w:szCs w:val="24"/>
        </w:rPr>
        <w:t>as the Privacy Officer) at the c</w:t>
      </w:r>
      <w:r w:rsidRPr="00FF2AA2">
        <w:rPr>
          <w:rFonts w:ascii="Book Antiqua" w:hAnsi="Book Antiqua"/>
          <w:sz w:val="24"/>
          <w:szCs w:val="24"/>
        </w:rPr>
        <w:t>enter will be designated to oversee HIPAA issues, all workforce members are responsible for knowing an</w:t>
      </w:r>
      <w:r w:rsidR="00FF2AA2" w:rsidRPr="00FF2AA2">
        <w:rPr>
          <w:rFonts w:ascii="Book Antiqua" w:hAnsi="Book Antiqua"/>
          <w:sz w:val="24"/>
          <w:szCs w:val="24"/>
        </w:rPr>
        <w:t>d acting consistently with the center policies and p</w:t>
      </w:r>
      <w:r w:rsidRPr="00FF2AA2">
        <w:rPr>
          <w:rFonts w:ascii="Book Antiqua" w:hAnsi="Book Antiqua"/>
          <w:sz w:val="24"/>
          <w:szCs w:val="24"/>
        </w:rPr>
        <w:t>rocedures regarding privacy, security, and data breach</w:t>
      </w:r>
      <w:r w:rsidR="00FF2AA2" w:rsidRPr="00FF2AA2">
        <w:rPr>
          <w:rFonts w:ascii="Book Antiqua" w:hAnsi="Book Antiqua"/>
          <w:sz w:val="24"/>
          <w:szCs w:val="24"/>
        </w:rPr>
        <w:t xml:space="preserve"> notification compliance. </w:t>
      </w:r>
      <w:r w:rsidRPr="00FF2AA2">
        <w:rPr>
          <w:rFonts w:ascii="Book Antiqua" w:hAnsi="Book Antiqua"/>
          <w:sz w:val="24"/>
          <w:szCs w:val="24"/>
        </w:rPr>
        <w:t>The Board’s role</w:t>
      </w:r>
      <w:r w:rsidR="00FF2AA2" w:rsidRPr="00FF2AA2">
        <w:rPr>
          <w:rFonts w:ascii="Book Antiqua" w:hAnsi="Book Antiqua"/>
          <w:sz w:val="24"/>
          <w:szCs w:val="24"/>
        </w:rPr>
        <w:t xml:space="preserve"> is to ensure that appropriate policies and p</w:t>
      </w:r>
      <w:r w:rsidRPr="00FF2AA2">
        <w:rPr>
          <w:rFonts w:ascii="Book Antiqua" w:hAnsi="Book Antiqua"/>
          <w:sz w:val="24"/>
          <w:szCs w:val="24"/>
        </w:rPr>
        <w:t xml:space="preserve">rocedures are in place, that all workforce members are </w:t>
      </w:r>
      <w:r w:rsidR="00FF2AA2" w:rsidRPr="00FF2AA2">
        <w:rPr>
          <w:rFonts w:ascii="Book Antiqua" w:hAnsi="Book Antiqua"/>
          <w:sz w:val="24"/>
          <w:szCs w:val="24"/>
        </w:rPr>
        <w:t>aware of, and trained in, such p</w:t>
      </w:r>
      <w:r w:rsidRPr="00FF2AA2">
        <w:rPr>
          <w:rFonts w:ascii="Book Antiqua" w:hAnsi="Book Antiqua"/>
          <w:sz w:val="24"/>
          <w:szCs w:val="24"/>
        </w:rPr>
        <w:t xml:space="preserve">olicies and </w:t>
      </w:r>
      <w:r w:rsidR="00FF2AA2" w:rsidRPr="00FF2AA2">
        <w:rPr>
          <w:rFonts w:ascii="Book Antiqua" w:hAnsi="Book Antiqua"/>
          <w:sz w:val="24"/>
          <w:szCs w:val="24"/>
        </w:rPr>
        <w:t>p</w:t>
      </w:r>
      <w:r w:rsidRPr="00FF2AA2">
        <w:rPr>
          <w:rFonts w:ascii="Book Antiqua" w:hAnsi="Book Antiqua"/>
          <w:sz w:val="24"/>
          <w:szCs w:val="24"/>
        </w:rPr>
        <w:t xml:space="preserve">rocedures, and that the </w:t>
      </w:r>
      <w:r w:rsidR="00FF2AA2" w:rsidRPr="00FF2AA2">
        <w:rPr>
          <w:rFonts w:ascii="Book Antiqua" w:hAnsi="Book Antiqua"/>
          <w:sz w:val="24"/>
          <w:szCs w:val="24"/>
        </w:rPr>
        <w:t>c</w:t>
      </w:r>
      <w:r w:rsidRPr="00FF2AA2">
        <w:rPr>
          <w:rFonts w:ascii="Book Antiqua" w:hAnsi="Book Antiqua"/>
          <w:sz w:val="24"/>
          <w:szCs w:val="24"/>
        </w:rPr>
        <w:t xml:space="preserve">enter’s daily operations are based on the </w:t>
      </w:r>
      <w:r w:rsidR="00FF2AA2" w:rsidRPr="00FF2AA2">
        <w:rPr>
          <w:rFonts w:ascii="Book Antiqua" w:hAnsi="Book Antiqua"/>
          <w:sz w:val="24"/>
          <w:szCs w:val="24"/>
        </w:rPr>
        <w:t>p</w:t>
      </w:r>
      <w:r w:rsidRPr="00FF2AA2">
        <w:rPr>
          <w:rFonts w:ascii="Book Antiqua" w:hAnsi="Book Antiqua"/>
          <w:sz w:val="24"/>
          <w:szCs w:val="24"/>
        </w:rPr>
        <w:t xml:space="preserve">olicies and </w:t>
      </w:r>
      <w:r w:rsidR="00FF2AA2" w:rsidRPr="00FF2AA2">
        <w:rPr>
          <w:rFonts w:ascii="Book Antiqua" w:hAnsi="Book Antiqua"/>
          <w:sz w:val="24"/>
          <w:szCs w:val="24"/>
        </w:rPr>
        <w:t>p</w:t>
      </w:r>
      <w:r w:rsidRPr="00FF2AA2">
        <w:rPr>
          <w:rFonts w:ascii="Book Antiqua" w:hAnsi="Book Antiqua"/>
          <w:sz w:val="24"/>
          <w:szCs w:val="24"/>
        </w:rPr>
        <w:t>rocedures.</w:t>
      </w:r>
    </w:p>
    <w:p w:rsidR="00753BB8" w:rsidRPr="00FF2AA2" w:rsidRDefault="00753BB8" w:rsidP="00753BB8">
      <w:pPr>
        <w:ind w:left="1080"/>
        <w:jc w:val="both"/>
        <w:rPr>
          <w:rFonts w:ascii="Book Antiqua" w:hAnsi="Book Antiqua"/>
          <w:bCs/>
          <w:sz w:val="24"/>
          <w:szCs w:val="24"/>
        </w:rPr>
      </w:pPr>
    </w:p>
    <w:p w:rsidR="00753BB8" w:rsidRPr="00FF2AA2" w:rsidRDefault="00661200" w:rsidP="00753BB8">
      <w:pPr>
        <w:numPr>
          <w:ilvl w:val="1"/>
          <w:numId w:val="3"/>
        </w:numPr>
        <w:ind w:left="1080" w:hanging="360"/>
        <w:jc w:val="both"/>
        <w:rPr>
          <w:rFonts w:ascii="Book Antiqua" w:hAnsi="Book Antiqua"/>
          <w:bCs/>
          <w:sz w:val="24"/>
          <w:szCs w:val="24"/>
        </w:rPr>
      </w:pPr>
      <w:r w:rsidRPr="00FF2AA2">
        <w:rPr>
          <w:rFonts w:ascii="Book Antiqua" w:hAnsi="Book Antiqua"/>
          <w:b/>
          <w:sz w:val="24"/>
          <w:szCs w:val="24"/>
        </w:rPr>
        <w:t>Designation of Privacy Officer/Information Security Officer</w:t>
      </w:r>
      <w:r w:rsidR="008A76FA" w:rsidRPr="00FF2AA2">
        <w:rPr>
          <w:rFonts w:ascii="Book Antiqua" w:hAnsi="Book Antiqua"/>
          <w:sz w:val="24"/>
          <w:szCs w:val="24"/>
        </w:rPr>
        <w:t xml:space="preserve">. </w:t>
      </w:r>
      <w:r w:rsidRPr="00FF2AA2">
        <w:rPr>
          <w:rFonts w:ascii="Book Antiqua" w:hAnsi="Book Antiqua"/>
          <w:sz w:val="24"/>
          <w:szCs w:val="24"/>
        </w:rPr>
        <w:t xml:space="preserve">The Board is responsible for appointing a point-person to oversee the </w:t>
      </w:r>
      <w:r w:rsidR="008A76FA" w:rsidRPr="00FF2AA2">
        <w:rPr>
          <w:rFonts w:ascii="Book Antiqua" w:hAnsi="Book Antiqua"/>
          <w:sz w:val="24"/>
          <w:szCs w:val="24"/>
        </w:rPr>
        <w:t>c</w:t>
      </w:r>
      <w:r w:rsidRPr="00FF2AA2">
        <w:rPr>
          <w:rFonts w:ascii="Book Antiqua" w:hAnsi="Book Antiqua"/>
          <w:sz w:val="24"/>
          <w:szCs w:val="24"/>
        </w:rPr>
        <w:t xml:space="preserve">enter’s compliance with the HIPAA Privacy and Security Rule, and the Data </w:t>
      </w:r>
      <w:r w:rsidR="008A76FA" w:rsidRPr="00FF2AA2">
        <w:rPr>
          <w:rFonts w:ascii="Book Antiqua" w:hAnsi="Book Antiqua"/>
          <w:sz w:val="24"/>
          <w:szCs w:val="24"/>
        </w:rPr>
        <w:t xml:space="preserve">Breach Notification </w:t>
      </w:r>
      <w:r w:rsidR="008A76FA" w:rsidRPr="00FF2AA2">
        <w:rPr>
          <w:rFonts w:ascii="Book Antiqua" w:hAnsi="Book Antiqua"/>
          <w:sz w:val="24"/>
          <w:szCs w:val="24"/>
        </w:rPr>
        <w:lastRenderedPageBreak/>
        <w:t>Rule. Depending on the size of the c</w:t>
      </w:r>
      <w:r w:rsidRPr="00FF2AA2">
        <w:rPr>
          <w:rFonts w:ascii="Book Antiqua" w:hAnsi="Book Antiqua"/>
          <w:sz w:val="24"/>
          <w:szCs w:val="24"/>
        </w:rPr>
        <w:t>enter, these roles can be filled by the same individual.</w:t>
      </w:r>
    </w:p>
    <w:p w:rsidR="00753BB8" w:rsidRPr="00FF2AA2" w:rsidRDefault="00753BB8" w:rsidP="00753BB8">
      <w:pPr>
        <w:pStyle w:val="ListParagraph"/>
        <w:rPr>
          <w:rFonts w:ascii="Book Antiqua" w:hAnsi="Book Antiqua"/>
          <w:sz w:val="24"/>
          <w:szCs w:val="24"/>
        </w:rPr>
      </w:pPr>
    </w:p>
    <w:p w:rsidR="00753BB8" w:rsidRPr="00FF2AA2" w:rsidRDefault="00661200" w:rsidP="00753BB8">
      <w:pPr>
        <w:numPr>
          <w:ilvl w:val="2"/>
          <w:numId w:val="3"/>
        </w:numPr>
        <w:ind w:left="1800" w:hanging="360"/>
        <w:jc w:val="both"/>
        <w:rPr>
          <w:rFonts w:ascii="Book Antiqua" w:hAnsi="Book Antiqua"/>
          <w:bCs/>
          <w:sz w:val="24"/>
          <w:szCs w:val="24"/>
        </w:rPr>
      </w:pPr>
      <w:r w:rsidRPr="00FF2AA2">
        <w:rPr>
          <w:rFonts w:ascii="Book Antiqua" w:hAnsi="Book Antiqua"/>
          <w:sz w:val="24"/>
          <w:szCs w:val="24"/>
        </w:rPr>
        <w:t xml:space="preserve">Core responsibilities would likely include monitoring the impact of pending regulatory changes; developing internal policies, procedures, and related forms to comply with contractual and legal obligations; and addressing any privacy or security concerns that may be raised by patients or workforce members.  </w:t>
      </w:r>
    </w:p>
    <w:p w:rsidR="00661200" w:rsidRPr="00FF2AA2" w:rsidRDefault="008A76FA" w:rsidP="00753BB8">
      <w:pPr>
        <w:numPr>
          <w:ilvl w:val="2"/>
          <w:numId w:val="3"/>
        </w:numPr>
        <w:ind w:left="1800" w:hanging="360"/>
        <w:jc w:val="both"/>
        <w:rPr>
          <w:rFonts w:ascii="Book Antiqua" w:hAnsi="Book Antiqua"/>
          <w:bCs/>
          <w:sz w:val="24"/>
          <w:szCs w:val="24"/>
        </w:rPr>
      </w:pPr>
      <w:r w:rsidRPr="00FF2AA2">
        <w:rPr>
          <w:rFonts w:ascii="Book Antiqua" w:hAnsi="Book Antiqua"/>
          <w:sz w:val="24"/>
          <w:szCs w:val="24"/>
        </w:rPr>
        <w:t>Smaller c</w:t>
      </w:r>
      <w:r w:rsidR="00661200" w:rsidRPr="00FF2AA2">
        <w:rPr>
          <w:rFonts w:ascii="Book Antiqua" w:hAnsi="Book Antiqua"/>
          <w:sz w:val="24"/>
          <w:szCs w:val="24"/>
        </w:rPr>
        <w:t xml:space="preserve">enters may choose to assign </w:t>
      </w:r>
      <w:r w:rsidRPr="00FF2AA2">
        <w:rPr>
          <w:rFonts w:ascii="Book Antiqua" w:hAnsi="Book Antiqua"/>
          <w:sz w:val="24"/>
          <w:szCs w:val="24"/>
        </w:rPr>
        <w:t>these duties</w:t>
      </w:r>
      <w:r w:rsidR="00661200" w:rsidRPr="00FF2AA2">
        <w:rPr>
          <w:rFonts w:ascii="Book Antiqua" w:hAnsi="Book Antiqua"/>
          <w:sz w:val="24"/>
          <w:szCs w:val="24"/>
        </w:rPr>
        <w:t xml:space="preserve"> to an existing staff person, such as</w:t>
      </w:r>
      <w:r w:rsidRPr="00FF2AA2">
        <w:rPr>
          <w:rFonts w:ascii="Book Antiqua" w:hAnsi="Book Antiqua"/>
          <w:sz w:val="24"/>
          <w:szCs w:val="24"/>
        </w:rPr>
        <w:t xml:space="preserve"> an office manager, and larger c</w:t>
      </w:r>
      <w:r w:rsidR="00661200" w:rsidRPr="00FF2AA2">
        <w:rPr>
          <w:rFonts w:ascii="Book Antiqua" w:hAnsi="Book Antiqua"/>
          <w:sz w:val="24"/>
          <w:szCs w:val="24"/>
        </w:rPr>
        <w:t xml:space="preserve">enters may create one or more full-time privacy and security positions.  </w:t>
      </w:r>
    </w:p>
    <w:p w:rsidR="00661200" w:rsidRPr="00FF2AA2" w:rsidRDefault="00661200" w:rsidP="00E03D35">
      <w:pPr>
        <w:ind w:left="1440"/>
        <w:jc w:val="both"/>
        <w:rPr>
          <w:rFonts w:ascii="Book Antiqua" w:hAnsi="Book Antiqua"/>
          <w:sz w:val="24"/>
          <w:szCs w:val="24"/>
        </w:rPr>
      </w:pPr>
    </w:p>
    <w:p w:rsidR="00753BB8" w:rsidRPr="00FF2AA2" w:rsidRDefault="00661200" w:rsidP="00753BB8">
      <w:pPr>
        <w:pStyle w:val="ListParagraph"/>
        <w:numPr>
          <w:ilvl w:val="1"/>
          <w:numId w:val="3"/>
        </w:numPr>
        <w:ind w:left="1080" w:hanging="360"/>
        <w:jc w:val="both"/>
        <w:rPr>
          <w:rFonts w:ascii="Book Antiqua" w:hAnsi="Book Antiqua"/>
          <w:sz w:val="24"/>
          <w:szCs w:val="24"/>
        </w:rPr>
      </w:pPr>
      <w:r w:rsidRPr="00FF2AA2">
        <w:rPr>
          <w:rFonts w:ascii="Book Antiqua" w:hAnsi="Book Antiqua"/>
          <w:b/>
          <w:sz w:val="24"/>
          <w:szCs w:val="24"/>
        </w:rPr>
        <w:t>Policies and Procedures.</w:t>
      </w:r>
      <w:r w:rsidRPr="00FF2AA2">
        <w:rPr>
          <w:rFonts w:ascii="Book Antiqua" w:hAnsi="Book Antiqua"/>
          <w:sz w:val="24"/>
          <w:szCs w:val="24"/>
        </w:rPr>
        <w:t xml:space="preserve"> The Board is res</w:t>
      </w:r>
      <w:r w:rsidR="008A76FA" w:rsidRPr="00FF2AA2">
        <w:rPr>
          <w:rFonts w:ascii="Book Antiqua" w:hAnsi="Book Antiqua"/>
          <w:sz w:val="24"/>
          <w:szCs w:val="24"/>
        </w:rPr>
        <w:t>ponsible for ensuring that the center’s policies and p</w:t>
      </w:r>
      <w:r w:rsidRPr="00FF2AA2">
        <w:rPr>
          <w:rFonts w:ascii="Book Antiqua" w:hAnsi="Book Antiqua"/>
          <w:sz w:val="24"/>
          <w:szCs w:val="24"/>
        </w:rPr>
        <w:t>rocedures comply with applicable federal, state and local laws and</w:t>
      </w:r>
      <w:r w:rsidR="008A76FA" w:rsidRPr="00FF2AA2">
        <w:rPr>
          <w:rFonts w:ascii="Book Antiqua" w:hAnsi="Book Antiqua"/>
          <w:sz w:val="24"/>
          <w:szCs w:val="24"/>
        </w:rPr>
        <w:t xml:space="preserve"> regulations, including HIPAA. Center HIPAA policies and procedures must be </w:t>
      </w:r>
      <w:r w:rsidRPr="00FF2AA2">
        <w:rPr>
          <w:rFonts w:ascii="Book Antiqua" w:hAnsi="Book Antiqua"/>
          <w:sz w:val="24"/>
          <w:szCs w:val="24"/>
        </w:rPr>
        <w:t>adopted and/or incorpor</w:t>
      </w:r>
      <w:r w:rsidR="008A76FA" w:rsidRPr="00FF2AA2">
        <w:rPr>
          <w:rFonts w:ascii="Book Antiqua" w:hAnsi="Book Antiqua"/>
          <w:sz w:val="24"/>
          <w:szCs w:val="24"/>
        </w:rPr>
        <w:t>ated into the various existing c</w:t>
      </w:r>
      <w:r w:rsidRPr="00FF2AA2">
        <w:rPr>
          <w:rFonts w:ascii="Book Antiqua" w:hAnsi="Book Antiqua"/>
          <w:sz w:val="24"/>
          <w:szCs w:val="24"/>
        </w:rPr>
        <w:t xml:space="preserve">enter </w:t>
      </w:r>
      <w:r w:rsidR="008A76FA" w:rsidRPr="00FF2AA2">
        <w:rPr>
          <w:rFonts w:ascii="Book Antiqua" w:hAnsi="Book Antiqua"/>
          <w:sz w:val="24"/>
          <w:szCs w:val="24"/>
        </w:rPr>
        <w:t>policies and p</w:t>
      </w:r>
      <w:r w:rsidRPr="00FF2AA2">
        <w:rPr>
          <w:rFonts w:ascii="Book Antiqua" w:hAnsi="Book Antiqua"/>
          <w:sz w:val="24"/>
          <w:szCs w:val="24"/>
        </w:rPr>
        <w:t xml:space="preserve">rocedures. </w:t>
      </w:r>
      <w:r w:rsidR="008A76FA" w:rsidRPr="00FF2AA2">
        <w:rPr>
          <w:rFonts w:ascii="Book Antiqua" w:hAnsi="Book Antiqua"/>
          <w:sz w:val="24"/>
          <w:szCs w:val="24"/>
        </w:rPr>
        <w:t>Policies and p</w:t>
      </w:r>
      <w:r w:rsidRPr="00FF2AA2">
        <w:rPr>
          <w:rFonts w:ascii="Book Antiqua" w:hAnsi="Book Antiqua"/>
          <w:sz w:val="24"/>
          <w:szCs w:val="24"/>
        </w:rPr>
        <w:t>rocedures must be updated to reflect changes in the law; TACHC will provide gu</w:t>
      </w:r>
      <w:r w:rsidR="008A76FA" w:rsidRPr="00FF2AA2">
        <w:rPr>
          <w:rFonts w:ascii="Book Antiqua" w:hAnsi="Book Antiqua"/>
          <w:sz w:val="24"/>
          <w:szCs w:val="24"/>
        </w:rPr>
        <w:t xml:space="preserve">idance regarding such changes. </w:t>
      </w:r>
      <w:r w:rsidRPr="00FF2AA2">
        <w:rPr>
          <w:rFonts w:ascii="Book Antiqua" w:hAnsi="Book Antiqua"/>
          <w:sz w:val="24"/>
          <w:szCs w:val="24"/>
        </w:rPr>
        <w:t xml:space="preserve">The </w:t>
      </w:r>
      <w:r w:rsidR="008A76FA" w:rsidRPr="00FF2AA2">
        <w:rPr>
          <w:rFonts w:ascii="Book Antiqua" w:hAnsi="Book Antiqua"/>
          <w:sz w:val="24"/>
          <w:szCs w:val="24"/>
        </w:rPr>
        <w:t>Board must ensure that the center’s HIPAA p</w:t>
      </w:r>
      <w:r w:rsidRPr="00FF2AA2">
        <w:rPr>
          <w:rFonts w:ascii="Book Antiqua" w:hAnsi="Book Antiqua"/>
          <w:sz w:val="24"/>
          <w:szCs w:val="24"/>
        </w:rPr>
        <w:t xml:space="preserve">olicies and </w:t>
      </w:r>
      <w:r w:rsidR="008A76FA" w:rsidRPr="00FF2AA2">
        <w:rPr>
          <w:rFonts w:ascii="Book Antiqua" w:hAnsi="Book Antiqua"/>
          <w:sz w:val="24"/>
          <w:szCs w:val="24"/>
        </w:rPr>
        <w:t>p</w:t>
      </w:r>
      <w:r w:rsidRPr="00FF2AA2">
        <w:rPr>
          <w:rFonts w:ascii="Book Antiqua" w:hAnsi="Book Antiqua"/>
          <w:sz w:val="24"/>
          <w:szCs w:val="24"/>
        </w:rPr>
        <w:t>rocedures, include, at a minimum:</w:t>
      </w:r>
    </w:p>
    <w:p w:rsidR="00753BB8" w:rsidRPr="00FF2AA2" w:rsidRDefault="00753BB8" w:rsidP="00753BB8">
      <w:pPr>
        <w:pStyle w:val="ListParagraph"/>
        <w:ind w:left="1440"/>
        <w:jc w:val="both"/>
        <w:rPr>
          <w:rFonts w:ascii="Book Antiqua" w:hAnsi="Book Antiqua"/>
          <w:sz w:val="24"/>
          <w:szCs w:val="24"/>
        </w:rPr>
      </w:pPr>
    </w:p>
    <w:p w:rsidR="00753BB8" w:rsidRPr="00FF2AA2" w:rsidRDefault="00661200" w:rsidP="00753BB8">
      <w:pPr>
        <w:pStyle w:val="ListParagraph"/>
        <w:numPr>
          <w:ilvl w:val="2"/>
          <w:numId w:val="3"/>
        </w:numPr>
        <w:ind w:left="1800" w:hanging="360"/>
        <w:jc w:val="both"/>
        <w:rPr>
          <w:rFonts w:ascii="Book Antiqua" w:hAnsi="Book Antiqua"/>
          <w:sz w:val="24"/>
          <w:szCs w:val="24"/>
        </w:rPr>
      </w:pPr>
      <w:r w:rsidRPr="00FF2AA2">
        <w:rPr>
          <w:rFonts w:ascii="Book Antiqua" w:hAnsi="Book Antiqua"/>
          <w:sz w:val="24"/>
          <w:szCs w:val="24"/>
        </w:rPr>
        <w:t>Privacy:</w:t>
      </w:r>
    </w:p>
    <w:p w:rsidR="00661200" w:rsidRPr="00FF2AA2" w:rsidRDefault="00661200" w:rsidP="009501D7">
      <w:pPr>
        <w:pStyle w:val="ListParagraph"/>
        <w:numPr>
          <w:ilvl w:val="3"/>
          <w:numId w:val="3"/>
        </w:numPr>
        <w:ind w:left="2520" w:hanging="360"/>
        <w:jc w:val="both"/>
        <w:rPr>
          <w:rFonts w:ascii="Book Antiqua" w:hAnsi="Book Antiqua"/>
          <w:sz w:val="24"/>
          <w:szCs w:val="24"/>
        </w:rPr>
      </w:pPr>
      <w:r w:rsidRPr="00FF2AA2">
        <w:rPr>
          <w:rFonts w:ascii="Book Antiqua" w:hAnsi="Book Antiqua"/>
          <w:szCs w:val="24"/>
        </w:rPr>
        <w:t>Appointment of a HIPAA Privacy Officer</w:t>
      </w:r>
      <w:r w:rsidR="009501D7" w:rsidRPr="00FF2AA2">
        <w:rPr>
          <w:rFonts w:ascii="Book Antiqua" w:hAnsi="Book Antiqua"/>
          <w:szCs w:val="24"/>
        </w:rPr>
        <w:t>.</w:t>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Business Associates</w:t>
      </w:r>
      <w:r w:rsidR="009501D7" w:rsidRPr="00FF2AA2">
        <w:rPr>
          <w:rFonts w:ascii="Book Antiqua" w:hAnsi="Book Antiqua"/>
          <w:szCs w:val="24"/>
        </w:rPr>
        <w:t>.</w:t>
      </w:r>
      <w:r w:rsidRPr="00FF2AA2">
        <w:rPr>
          <w:rFonts w:ascii="Book Antiqua" w:hAnsi="Book Antiqua"/>
          <w:szCs w:val="24"/>
        </w:rPr>
        <w:tab/>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Notice of Privacy Practices</w:t>
      </w:r>
      <w:r w:rsidR="009501D7" w:rsidRPr="00FF2AA2">
        <w:rPr>
          <w:rFonts w:ascii="Book Antiqua" w:hAnsi="Book Antiqua"/>
          <w:szCs w:val="24"/>
        </w:rPr>
        <w:t>.</w:t>
      </w:r>
      <w:r w:rsidRPr="00FF2AA2">
        <w:rPr>
          <w:rFonts w:ascii="Book Antiqua" w:hAnsi="Book Antiqua"/>
          <w:szCs w:val="24"/>
        </w:rPr>
        <w:t xml:space="preserve"> </w:t>
      </w:r>
      <w:r w:rsidRPr="00FF2AA2">
        <w:rPr>
          <w:rFonts w:ascii="Book Antiqua" w:hAnsi="Book Antiqua"/>
          <w:szCs w:val="24"/>
        </w:rPr>
        <w:tab/>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General Use and Disclosure of PHI</w:t>
      </w:r>
      <w:r w:rsidR="009501D7" w:rsidRPr="00FF2AA2">
        <w:rPr>
          <w:rFonts w:ascii="Book Antiqua" w:hAnsi="Book Antiqua"/>
          <w:szCs w:val="24"/>
        </w:rPr>
        <w:t>.</w:t>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Patients’ Right to Access Records</w:t>
      </w:r>
      <w:r w:rsidR="009501D7" w:rsidRPr="00FF2AA2">
        <w:rPr>
          <w:rFonts w:ascii="Book Antiqua" w:hAnsi="Book Antiqua"/>
          <w:szCs w:val="24"/>
        </w:rPr>
        <w:t>.</w:t>
      </w:r>
      <w:r w:rsidRPr="00FF2AA2">
        <w:rPr>
          <w:rFonts w:ascii="Book Antiqua" w:hAnsi="Book Antiqua"/>
          <w:szCs w:val="24"/>
        </w:rPr>
        <w:tab/>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Patients’ Requests for Amendments</w:t>
      </w:r>
      <w:r w:rsidR="009501D7" w:rsidRPr="00FF2AA2">
        <w:rPr>
          <w:rFonts w:ascii="Book Antiqua" w:hAnsi="Book Antiqua"/>
          <w:szCs w:val="24"/>
        </w:rPr>
        <w:t>.</w:t>
      </w:r>
      <w:r w:rsidRPr="00FF2AA2">
        <w:rPr>
          <w:rFonts w:ascii="Book Antiqua" w:hAnsi="Book Antiqua"/>
          <w:szCs w:val="24"/>
        </w:rPr>
        <w:tab/>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Accounting of Disclosures of PHI</w:t>
      </w:r>
      <w:r w:rsidR="009501D7" w:rsidRPr="00FF2AA2">
        <w:rPr>
          <w:rFonts w:ascii="Book Antiqua" w:hAnsi="Book Antiqua"/>
          <w:szCs w:val="24"/>
        </w:rPr>
        <w:t>.</w:t>
      </w:r>
      <w:r w:rsidRPr="00FF2AA2">
        <w:rPr>
          <w:rFonts w:ascii="Book Antiqua" w:hAnsi="Book Antiqua"/>
          <w:szCs w:val="24"/>
        </w:rPr>
        <w:tab/>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Patients’ Requests for Additional Privacy</w:t>
      </w:r>
      <w:r w:rsidR="009501D7" w:rsidRPr="00FF2AA2">
        <w:rPr>
          <w:rFonts w:ascii="Book Antiqua" w:hAnsi="Book Antiqua"/>
          <w:szCs w:val="24"/>
        </w:rPr>
        <w:t>.</w:t>
      </w:r>
      <w:r w:rsidRPr="00FF2AA2">
        <w:rPr>
          <w:rFonts w:ascii="Book Antiqua" w:hAnsi="Book Antiqua"/>
          <w:szCs w:val="24"/>
        </w:rPr>
        <w:tab/>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Patient Complaints</w:t>
      </w:r>
      <w:r w:rsidR="009501D7" w:rsidRPr="00FF2AA2">
        <w:rPr>
          <w:rFonts w:ascii="Book Antiqua" w:hAnsi="Book Antiqua"/>
          <w:szCs w:val="24"/>
        </w:rPr>
        <w:t>.</w:t>
      </w:r>
      <w:r w:rsidRPr="00FF2AA2">
        <w:rPr>
          <w:rFonts w:ascii="Book Antiqua" w:hAnsi="Book Antiqua"/>
          <w:szCs w:val="24"/>
        </w:rPr>
        <w:tab/>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Disciplinary Action</w:t>
      </w:r>
      <w:r w:rsidR="009501D7" w:rsidRPr="00FF2AA2">
        <w:rPr>
          <w:rFonts w:ascii="Book Antiqua" w:hAnsi="Book Antiqua"/>
          <w:szCs w:val="24"/>
        </w:rPr>
        <w:t>.</w:t>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Training</w:t>
      </w:r>
      <w:r w:rsidR="009501D7" w:rsidRPr="00FF2AA2">
        <w:rPr>
          <w:rFonts w:ascii="Book Antiqua" w:hAnsi="Book Antiqua"/>
          <w:szCs w:val="24"/>
        </w:rPr>
        <w:t>.</w:t>
      </w:r>
    </w:p>
    <w:p w:rsidR="00661200" w:rsidRPr="00FF2AA2" w:rsidRDefault="00661200" w:rsidP="009501D7">
      <w:pPr>
        <w:pStyle w:val="BodyText"/>
        <w:numPr>
          <w:ilvl w:val="2"/>
          <w:numId w:val="3"/>
        </w:numPr>
        <w:spacing w:after="0"/>
        <w:ind w:left="1800" w:hanging="360"/>
        <w:jc w:val="both"/>
        <w:rPr>
          <w:rFonts w:ascii="Book Antiqua" w:hAnsi="Book Antiqua"/>
          <w:szCs w:val="24"/>
        </w:rPr>
      </w:pPr>
      <w:r w:rsidRPr="00FF2AA2">
        <w:rPr>
          <w:rFonts w:ascii="Book Antiqua" w:hAnsi="Book Antiqua"/>
          <w:szCs w:val="24"/>
        </w:rPr>
        <w:t>Security:</w:t>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Administrative safeguards</w:t>
      </w:r>
      <w:r w:rsidR="009501D7" w:rsidRPr="00FF2AA2">
        <w:rPr>
          <w:rFonts w:ascii="Book Antiqua" w:hAnsi="Book Antiqua"/>
          <w:szCs w:val="24"/>
        </w:rPr>
        <w:t>.</w:t>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Technical safeguards</w:t>
      </w:r>
      <w:r w:rsidR="009501D7" w:rsidRPr="00FF2AA2">
        <w:rPr>
          <w:rFonts w:ascii="Book Antiqua" w:hAnsi="Book Antiqua"/>
          <w:szCs w:val="24"/>
        </w:rPr>
        <w:t>.</w:t>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Physical safeguards</w:t>
      </w:r>
      <w:r w:rsidR="009501D7" w:rsidRPr="00FF2AA2">
        <w:rPr>
          <w:rFonts w:ascii="Book Antiqua" w:hAnsi="Book Antiqua"/>
          <w:szCs w:val="24"/>
        </w:rPr>
        <w:t>.</w:t>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Disciplinary actions</w:t>
      </w:r>
      <w:r w:rsidR="009501D7" w:rsidRPr="00FF2AA2">
        <w:rPr>
          <w:rFonts w:ascii="Book Antiqua" w:hAnsi="Book Antiqua"/>
          <w:szCs w:val="24"/>
        </w:rPr>
        <w:t>.</w:t>
      </w:r>
    </w:p>
    <w:p w:rsidR="00661200" w:rsidRPr="00FF2AA2" w:rsidRDefault="00661200" w:rsidP="009501D7">
      <w:pPr>
        <w:pStyle w:val="BodyText"/>
        <w:numPr>
          <w:ilvl w:val="2"/>
          <w:numId w:val="3"/>
        </w:numPr>
        <w:spacing w:after="0"/>
        <w:ind w:left="1800" w:hanging="360"/>
        <w:jc w:val="both"/>
        <w:rPr>
          <w:rFonts w:ascii="Book Antiqua" w:hAnsi="Book Antiqua"/>
          <w:szCs w:val="24"/>
        </w:rPr>
      </w:pPr>
      <w:r w:rsidRPr="00FF2AA2">
        <w:rPr>
          <w:rFonts w:ascii="Book Antiqua" w:hAnsi="Book Antiqua"/>
          <w:szCs w:val="24"/>
        </w:rPr>
        <w:t>Data Breach Notification:</w:t>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Risk assessment</w:t>
      </w:r>
      <w:r w:rsidR="009501D7" w:rsidRPr="00FF2AA2">
        <w:rPr>
          <w:rFonts w:ascii="Book Antiqua" w:hAnsi="Book Antiqua"/>
          <w:szCs w:val="24"/>
        </w:rPr>
        <w:t>.</w:t>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Notice to individuals</w:t>
      </w:r>
      <w:r w:rsidR="009501D7" w:rsidRPr="00FF2AA2">
        <w:rPr>
          <w:rFonts w:ascii="Book Antiqua" w:hAnsi="Book Antiqua"/>
          <w:szCs w:val="24"/>
        </w:rPr>
        <w:t>.</w:t>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Notice to media</w:t>
      </w:r>
      <w:r w:rsidR="009501D7" w:rsidRPr="00FF2AA2">
        <w:rPr>
          <w:rFonts w:ascii="Book Antiqua" w:hAnsi="Book Antiqua"/>
          <w:szCs w:val="24"/>
        </w:rPr>
        <w:t>.</w:t>
      </w:r>
    </w:p>
    <w:p w:rsidR="009501D7"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t>Notice to Secretary</w:t>
      </w:r>
      <w:r w:rsidR="009501D7" w:rsidRPr="00FF2AA2">
        <w:rPr>
          <w:rFonts w:ascii="Book Antiqua" w:hAnsi="Book Antiqua"/>
          <w:szCs w:val="24"/>
        </w:rPr>
        <w:t>.</w:t>
      </w:r>
    </w:p>
    <w:p w:rsidR="00661200" w:rsidRPr="00FF2AA2" w:rsidRDefault="00661200" w:rsidP="009501D7">
      <w:pPr>
        <w:pStyle w:val="BodyText"/>
        <w:numPr>
          <w:ilvl w:val="3"/>
          <w:numId w:val="3"/>
        </w:numPr>
        <w:spacing w:after="0"/>
        <w:ind w:left="2520" w:hanging="360"/>
        <w:jc w:val="both"/>
        <w:rPr>
          <w:rFonts w:ascii="Book Antiqua" w:hAnsi="Book Antiqua"/>
          <w:szCs w:val="24"/>
        </w:rPr>
      </w:pPr>
      <w:r w:rsidRPr="00FF2AA2">
        <w:rPr>
          <w:rFonts w:ascii="Book Antiqua" w:hAnsi="Book Antiqua"/>
          <w:szCs w:val="24"/>
        </w:rPr>
        <w:lastRenderedPageBreak/>
        <w:t>Documentation</w:t>
      </w:r>
    </w:p>
    <w:p w:rsidR="009501D7" w:rsidRPr="00FF2AA2" w:rsidRDefault="009501D7" w:rsidP="009501D7">
      <w:pPr>
        <w:pStyle w:val="ListParagraph"/>
        <w:ind w:left="1440"/>
        <w:jc w:val="both"/>
        <w:rPr>
          <w:rFonts w:ascii="Book Antiqua" w:hAnsi="Book Antiqua"/>
          <w:sz w:val="24"/>
          <w:szCs w:val="24"/>
        </w:rPr>
      </w:pPr>
    </w:p>
    <w:p w:rsidR="00661200" w:rsidRPr="00FF2AA2" w:rsidRDefault="00661200" w:rsidP="009501D7">
      <w:pPr>
        <w:pStyle w:val="ListParagraph"/>
        <w:numPr>
          <w:ilvl w:val="1"/>
          <w:numId w:val="3"/>
        </w:numPr>
        <w:jc w:val="both"/>
        <w:rPr>
          <w:rFonts w:ascii="Book Antiqua" w:hAnsi="Book Antiqua"/>
          <w:sz w:val="24"/>
          <w:szCs w:val="24"/>
        </w:rPr>
      </w:pPr>
      <w:r w:rsidRPr="00FF2AA2">
        <w:rPr>
          <w:rFonts w:ascii="Book Antiqua" w:hAnsi="Book Antiqua"/>
          <w:b/>
          <w:sz w:val="24"/>
          <w:szCs w:val="24"/>
        </w:rPr>
        <w:t>Workforce Training</w:t>
      </w:r>
      <w:r w:rsidRPr="00FF2AA2">
        <w:rPr>
          <w:rFonts w:ascii="Book Antiqua" w:hAnsi="Book Antiqua"/>
          <w:sz w:val="24"/>
          <w:szCs w:val="24"/>
        </w:rPr>
        <w:t xml:space="preserve">. HIPAA requires that Centers (as Covered Entities) train all workforce members (which is defined broadly) regarding compliance with Policies and Procedures.  The Center should include HIPAA Compliance Training in the Center’s Personnel Policies and Procedures.  </w:t>
      </w:r>
    </w:p>
    <w:p w:rsidR="009501D7" w:rsidRPr="00FF2AA2" w:rsidRDefault="009501D7" w:rsidP="009501D7">
      <w:pPr>
        <w:jc w:val="both"/>
        <w:rPr>
          <w:rFonts w:ascii="Book Antiqua" w:hAnsi="Book Antiqua"/>
          <w:b/>
          <w:sz w:val="24"/>
          <w:szCs w:val="24"/>
        </w:rPr>
      </w:pPr>
    </w:p>
    <w:p w:rsidR="00661200" w:rsidRPr="00FF2AA2" w:rsidRDefault="00661200" w:rsidP="009501D7">
      <w:pPr>
        <w:pStyle w:val="ListParagraph"/>
        <w:numPr>
          <w:ilvl w:val="1"/>
          <w:numId w:val="3"/>
        </w:numPr>
        <w:jc w:val="both"/>
        <w:rPr>
          <w:rFonts w:ascii="Book Antiqua" w:hAnsi="Book Antiqua"/>
          <w:sz w:val="24"/>
          <w:szCs w:val="24"/>
        </w:rPr>
      </w:pPr>
      <w:r w:rsidRPr="00FF2AA2">
        <w:rPr>
          <w:rFonts w:ascii="Book Antiqua" w:hAnsi="Book Antiqua"/>
          <w:b/>
          <w:sz w:val="24"/>
          <w:szCs w:val="24"/>
        </w:rPr>
        <w:t>Business Associate Agreements</w:t>
      </w:r>
      <w:r w:rsidRPr="00FF2AA2">
        <w:rPr>
          <w:rFonts w:ascii="Book Antiqua" w:hAnsi="Book Antiqua"/>
          <w:sz w:val="24"/>
          <w:szCs w:val="24"/>
        </w:rPr>
        <w:t>. The Governance Board should ensure that Centers execute written Business Associate Agreements with all Vendors and Contractors.  The Center’s Privacy Officer should maintain a current list of the Center’s Business Associates and copies of all executed Business Associate Agreements.</w:t>
      </w:r>
    </w:p>
    <w:p w:rsidR="00661200" w:rsidRPr="00FF2AA2" w:rsidRDefault="00661200" w:rsidP="00E03D35">
      <w:pPr>
        <w:ind w:left="1440"/>
        <w:jc w:val="both"/>
        <w:rPr>
          <w:rFonts w:ascii="Book Antiqua" w:hAnsi="Book Antiqua"/>
          <w:sz w:val="24"/>
          <w:szCs w:val="24"/>
        </w:rPr>
      </w:pPr>
    </w:p>
    <w:p w:rsidR="001B0519" w:rsidRPr="00FF2AA2" w:rsidRDefault="001B0519" w:rsidP="00E03D35">
      <w:pPr>
        <w:pStyle w:val="Default"/>
        <w:jc w:val="both"/>
        <w:rPr>
          <w:rFonts w:ascii="Book Antiqua" w:hAnsi="Book Antiqua"/>
        </w:rPr>
      </w:pPr>
    </w:p>
    <w:sectPr w:rsidR="001B0519" w:rsidRPr="00FF2AA2" w:rsidSect="00EC3991">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659" w:rsidRDefault="00145659" w:rsidP="00661200">
      <w:r>
        <w:separator/>
      </w:r>
    </w:p>
  </w:endnote>
  <w:endnote w:type="continuationSeparator" w:id="1">
    <w:p w:rsidR="00145659" w:rsidRDefault="00145659" w:rsidP="00661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A3" w:rsidRDefault="00C975A3" w:rsidP="00C14314">
    <w:pPr>
      <w:pStyle w:val="Footer"/>
      <w:pBdr>
        <w:top w:val="thinThickSmallGap" w:sz="24" w:space="1" w:color="622423"/>
      </w:pBdr>
      <w:tabs>
        <w:tab w:val="clear" w:pos="4680"/>
        <w:tab w:val="clear" w:pos="9360"/>
        <w:tab w:val="right" w:pos="8640"/>
      </w:tabs>
      <w:rPr>
        <w:rFonts w:ascii="Cambria" w:hAnsi="Cambria"/>
      </w:rPr>
    </w:pPr>
    <w:r>
      <w:rPr>
        <w:rFonts w:ascii="Cambria" w:hAnsi="Cambria"/>
      </w:rPr>
      <w:t>©</w:t>
    </w:r>
    <w:r w:rsidRPr="002941F8">
      <w:rPr>
        <w:rFonts w:ascii="Cambria" w:hAnsi="Cambria"/>
        <w:i/>
        <w:sz w:val="20"/>
        <w:szCs w:val="20"/>
      </w:rPr>
      <w:t>TACHC, Inc.</w:t>
    </w:r>
    <w:r w:rsidRPr="00DC175B">
      <w:rPr>
        <w:rFonts w:ascii="Cambria" w:hAnsi="Cambria"/>
        <w:sz w:val="20"/>
        <w:szCs w:val="20"/>
      </w:rPr>
      <w:t xml:space="preserve"> </w:t>
    </w:r>
    <w:r w:rsidRPr="00DC175B">
      <w:rPr>
        <w:rFonts w:ascii="Cambria" w:hAnsi="Cambria"/>
        <w:i/>
        <w:sz w:val="16"/>
        <w:szCs w:val="16"/>
      </w:rPr>
      <w:t>for adapt</w:t>
    </w:r>
    <w:r>
      <w:rPr>
        <w:rFonts w:ascii="Cambria" w:hAnsi="Cambria"/>
        <w:i/>
        <w:sz w:val="16"/>
        <w:szCs w:val="16"/>
      </w:rPr>
      <w:t>at</w:t>
    </w:r>
    <w:r w:rsidRPr="00DC175B">
      <w:rPr>
        <w:rFonts w:ascii="Cambria" w:hAnsi="Cambria"/>
        <w:i/>
        <w:sz w:val="16"/>
        <w:szCs w:val="16"/>
      </w:rPr>
      <w:t xml:space="preserve">ion and use </w:t>
    </w:r>
    <w:r>
      <w:rPr>
        <w:rFonts w:ascii="Cambria" w:hAnsi="Cambria"/>
        <w:i/>
        <w:sz w:val="16"/>
        <w:szCs w:val="16"/>
      </w:rPr>
      <w:t xml:space="preserve">only </w:t>
    </w:r>
    <w:r w:rsidRPr="00DC175B">
      <w:rPr>
        <w:rFonts w:ascii="Cambria" w:hAnsi="Cambria"/>
        <w:i/>
        <w:sz w:val="16"/>
        <w:szCs w:val="16"/>
      </w:rPr>
      <w:t xml:space="preserve">by </w:t>
    </w:r>
    <w:r>
      <w:rPr>
        <w:rFonts w:ascii="Cambria" w:hAnsi="Cambria"/>
        <w:i/>
        <w:sz w:val="16"/>
        <w:szCs w:val="16"/>
      </w:rPr>
      <w:t>entities</w:t>
    </w:r>
    <w:r w:rsidRPr="00DC175B">
      <w:rPr>
        <w:rFonts w:ascii="Cambria" w:hAnsi="Cambria"/>
        <w:i/>
        <w:sz w:val="16"/>
        <w:szCs w:val="16"/>
      </w:rPr>
      <w:t xml:space="preserve"> </w:t>
    </w:r>
    <w:r>
      <w:rPr>
        <w:rFonts w:ascii="Cambria" w:hAnsi="Cambria"/>
        <w:i/>
        <w:sz w:val="16"/>
        <w:szCs w:val="16"/>
      </w:rPr>
      <w:t xml:space="preserve">that </w:t>
    </w:r>
    <w:r w:rsidRPr="00DC175B">
      <w:rPr>
        <w:rFonts w:ascii="Cambria" w:hAnsi="Cambria"/>
        <w:i/>
        <w:sz w:val="16"/>
        <w:szCs w:val="16"/>
      </w:rPr>
      <w:t>purchas</w:t>
    </w:r>
    <w:r>
      <w:rPr>
        <w:rFonts w:ascii="Cambria" w:hAnsi="Cambria"/>
        <w:i/>
        <w:sz w:val="16"/>
        <w:szCs w:val="16"/>
      </w:rPr>
      <w:t>ed</w:t>
    </w:r>
    <w:r w:rsidR="000E735F">
      <w:rPr>
        <w:rFonts w:ascii="Cambria" w:hAnsi="Cambria"/>
        <w:i/>
        <w:sz w:val="16"/>
        <w:szCs w:val="16"/>
      </w:rPr>
      <w:t xml:space="preserve"> the TACHC OC³ CPI Manual</w:t>
    </w:r>
    <w:r w:rsidRPr="00DC175B">
      <w:rPr>
        <w:rFonts w:ascii="Cambria" w:hAnsi="Cambria"/>
        <w:sz w:val="20"/>
        <w:szCs w:val="20"/>
      </w:rPr>
      <w:t>.</w:t>
    </w:r>
    <w:r w:rsidRPr="00DC175B">
      <w:rPr>
        <w:rFonts w:ascii="Cambria" w:hAnsi="Cambria"/>
        <w:sz w:val="20"/>
        <w:szCs w:val="20"/>
      </w:rPr>
      <w:tab/>
      <w:t xml:space="preserve">Page </w:t>
    </w:r>
    <w:r w:rsidR="00697AF6" w:rsidRPr="00DC175B">
      <w:rPr>
        <w:sz w:val="20"/>
        <w:szCs w:val="20"/>
      </w:rPr>
      <w:fldChar w:fldCharType="begin"/>
    </w:r>
    <w:r w:rsidRPr="00DC175B">
      <w:rPr>
        <w:sz w:val="20"/>
        <w:szCs w:val="20"/>
      </w:rPr>
      <w:instrText xml:space="preserve"> PAGE   \* MERGEFORMAT </w:instrText>
    </w:r>
    <w:r w:rsidR="00697AF6" w:rsidRPr="00DC175B">
      <w:rPr>
        <w:sz w:val="20"/>
        <w:szCs w:val="20"/>
      </w:rPr>
      <w:fldChar w:fldCharType="separate"/>
    </w:r>
    <w:r w:rsidR="000E735F" w:rsidRPr="000E735F">
      <w:rPr>
        <w:rFonts w:ascii="Cambria" w:hAnsi="Cambria"/>
        <w:noProof/>
        <w:sz w:val="20"/>
        <w:szCs w:val="20"/>
      </w:rPr>
      <w:t>2</w:t>
    </w:r>
    <w:r w:rsidR="00697AF6" w:rsidRPr="00DC175B">
      <w:rPr>
        <w:sz w:val="20"/>
        <w:szCs w:val="20"/>
      </w:rPr>
      <w:fldChar w:fldCharType="end"/>
    </w:r>
  </w:p>
  <w:p w:rsidR="00C975A3" w:rsidRDefault="00C97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659" w:rsidRDefault="00145659" w:rsidP="00661200">
      <w:r>
        <w:separator/>
      </w:r>
    </w:p>
  </w:footnote>
  <w:footnote w:type="continuationSeparator" w:id="1">
    <w:p w:rsidR="00145659" w:rsidRDefault="00145659" w:rsidP="00661200">
      <w:r>
        <w:continuationSeparator/>
      </w:r>
    </w:p>
  </w:footnote>
  <w:footnote w:id="2">
    <w:p w:rsidR="00C975A3" w:rsidRPr="009D1388" w:rsidRDefault="00C975A3">
      <w:pPr>
        <w:pStyle w:val="FootnoteText"/>
        <w:rPr>
          <w:rFonts w:ascii="Book Antiqua" w:hAnsi="Book Antiqua"/>
        </w:rPr>
      </w:pPr>
      <w:r w:rsidRPr="009D1388">
        <w:rPr>
          <w:rStyle w:val="FootnoteReference"/>
          <w:rFonts w:ascii="Book Antiqua" w:hAnsi="Book Antiqua"/>
        </w:rPr>
        <w:footnoteRef/>
      </w:r>
      <w:r w:rsidRPr="009D1388">
        <w:rPr>
          <w:rFonts w:ascii="Book Antiqua" w:hAnsi="Book Antiqua"/>
        </w:rPr>
        <w:t xml:space="preserve"> See </w:t>
      </w:r>
      <w:hyperlink r:id="rId1" w:history="1">
        <w:r w:rsidRPr="009D1388">
          <w:rPr>
            <w:rStyle w:val="Hyperlink"/>
            <w:rFonts w:ascii="Book Antiqua" w:hAnsi="Book Antiqua"/>
          </w:rPr>
          <w:t>Texas OAG analysis</w:t>
        </w:r>
      </w:hyperlink>
      <w:r w:rsidRPr="009D1388">
        <w:rPr>
          <w:rFonts w:ascii="Book Antiqua" w:hAnsi="Book Antiqua"/>
        </w:rPr>
        <w:t xml:space="preserve"> of what is pr</w:t>
      </w:r>
      <w:r>
        <w:rPr>
          <w:rFonts w:ascii="Book Antiqua" w:hAnsi="Book Antiqua"/>
        </w:rPr>
        <w:t>e-empted in state law by HIPAA.</w:t>
      </w:r>
    </w:p>
  </w:footnote>
  <w:footnote w:id="3">
    <w:p w:rsidR="00C975A3" w:rsidRPr="009D1388" w:rsidRDefault="00C975A3" w:rsidP="00661200">
      <w:pPr>
        <w:pStyle w:val="FootnoteText"/>
        <w:rPr>
          <w:rFonts w:ascii="Book Antiqua" w:hAnsi="Book Antiqua"/>
        </w:rPr>
      </w:pPr>
      <w:r w:rsidRPr="009D1388">
        <w:rPr>
          <w:rStyle w:val="FootnoteReference"/>
          <w:rFonts w:ascii="Book Antiqua" w:hAnsi="Book Antiqua"/>
        </w:rPr>
        <w:footnoteRef/>
      </w:r>
      <w:r>
        <w:rPr>
          <w:rFonts w:ascii="Book Antiqua" w:hAnsi="Book Antiqua"/>
        </w:rPr>
        <w:t xml:space="preserve"> Texas Health and Safety Code §181.001</w:t>
      </w:r>
      <w:r w:rsidRPr="009D1388">
        <w:rPr>
          <w:rFonts w:ascii="Book Antiqua" w:hAnsi="Book Antiqua"/>
        </w:rPr>
        <w:t>, as amended from time to time.</w:t>
      </w:r>
    </w:p>
  </w:footnote>
  <w:footnote w:id="4">
    <w:p w:rsidR="00C975A3" w:rsidRDefault="00C975A3" w:rsidP="00661200">
      <w:pPr>
        <w:pStyle w:val="FootnoteText"/>
      </w:pPr>
      <w:r w:rsidRPr="009D1388">
        <w:rPr>
          <w:rStyle w:val="FootnoteReference"/>
          <w:rFonts w:ascii="Book Antiqua" w:hAnsi="Book Antiqua"/>
        </w:rPr>
        <w:footnoteRef/>
      </w:r>
      <w:r>
        <w:rPr>
          <w:rFonts w:ascii="Book Antiqua" w:hAnsi="Book Antiqua"/>
        </w:rPr>
        <w:t xml:space="preserve"> </w:t>
      </w:r>
      <w:proofErr w:type="gramStart"/>
      <w:r>
        <w:rPr>
          <w:rFonts w:ascii="Book Antiqua" w:hAnsi="Book Antiqua"/>
        </w:rPr>
        <w:t xml:space="preserve">Texas Health and Safety Code §181.151 </w:t>
      </w:r>
      <w:r w:rsidRPr="009D1388">
        <w:rPr>
          <w:rFonts w:ascii="Book Antiqua" w:hAnsi="Book Antiqua"/>
        </w:rPr>
        <w:t>[Re-identified Information].</w:t>
      </w:r>
      <w:proofErr w:type="gramEnd"/>
    </w:p>
  </w:footnote>
  <w:footnote w:id="5">
    <w:p w:rsidR="00C975A3" w:rsidRPr="00C2434D" w:rsidRDefault="00C975A3" w:rsidP="00661200">
      <w:pPr>
        <w:pStyle w:val="FootnoteText"/>
        <w:rPr>
          <w:rFonts w:ascii="Book Antiqua" w:hAnsi="Book Antiqua"/>
        </w:rPr>
      </w:pPr>
      <w:r w:rsidRPr="00C2434D">
        <w:rPr>
          <w:rStyle w:val="FootnoteReference"/>
          <w:rFonts w:ascii="Book Antiqua" w:hAnsi="Book Antiqua"/>
        </w:rPr>
        <w:footnoteRef/>
      </w:r>
      <w:r>
        <w:rPr>
          <w:rFonts w:ascii="Book Antiqua" w:hAnsi="Book Antiqua"/>
        </w:rPr>
        <w:t xml:space="preserve"> See 45 CFR §</w:t>
      </w:r>
      <w:r w:rsidRPr="00C2434D">
        <w:rPr>
          <w:rFonts w:ascii="Book Antiqua" w:hAnsi="Book Antiqua"/>
        </w:rPr>
        <w:t>160.103.</w:t>
      </w:r>
    </w:p>
  </w:footnote>
  <w:footnote w:id="6">
    <w:p w:rsidR="00C975A3" w:rsidRPr="00C2434D" w:rsidRDefault="00C975A3" w:rsidP="00661200">
      <w:pPr>
        <w:pStyle w:val="FootnoteText"/>
        <w:rPr>
          <w:rFonts w:ascii="Book Antiqua" w:hAnsi="Book Antiqua"/>
        </w:rPr>
      </w:pPr>
      <w:r w:rsidRPr="00C2434D">
        <w:rPr>
          <w:rStyle w:val="FootnoteReference"/>
          <w:rFonts w:ascii="Book Antiqua" w:hAnsi="Book Antiqua"/>
        </w:rPr>
        <w:footnoteRef/>
      </w:r>
      <w:r>
        <w:rPr>
          <w:rFonts w:ascii="Book Antiqua" w:hAnsi="Book Antiqua"/>
        </w:rPr>
        <w:t xml:space="preserve"> </w:t>
      </w:r>
      <w:proofErr w:type="gramStart"/>
      <w:r>
        <w:rPr>
          <w:rFonts w:ascii="Book Antiqua" w:hAnsi="Book Antiqua"/>
        </w:rPr>
        <w:t xml:space="preserve">Texas R. </w:t>
      </w:r>
      <w:proofErr w:type="spellStart"/>
      <w:r>
        <w:rPr>
          <w:rFonts w:ascii="Book Antiqua" w:hAnsi="Book Antiqua"/>
        </w:rPr>
        <w:t>Evid</w:t>
      </w:r>
      <w:proofErr w:type="spellEnd"/>
      <w:r>
        <w:rPr>
          <w:rFonts w:ascii="Book Antiqua" w:hAnsi="Book Antiqua"/>
        </w:rPr>
        <w:t>.</w:t>
      </w:r>
      <w:proofErr w:type="gramEnd"/>
      <w:r>
        <w:rPr>
          <w:rFonts w:ascii="Book Antiqua" w:hAnsi="Book Antiqua"/>
        </w:rPr>
        <w:t xml:space="preserve"> §</w:t>
      </w:r>
      <w:r w:rsidRPr="00C2434D">
        <w:rPr>
          <w:rFonts w:ascii="Book Antiqua" w:hAnsi="Book Antiqua"/>
        </w:rPr>
        <w:t>510 [Patient – Professional Privilege];</w:t>
      </w:r>
      <w:r>
        <w:rPr>
          <w:rFonts w:ascii="Book Antiqua" w:hAnsi="Book Antiqua"/>
        </w:rPr>
        <w:t xml:space="preserve"> Texas Health and Safety Code §</w:t>
      </w:r>
      <w:r w:rsidRPr="00C2434D">
        <w:rPr>
          <w:rFonts w:ascii="Book Antiqua" w:hAnsi="Book Antiqua"/>
        </w:rPr>
        <w:t xml:space="preserve">611.001-.008. </w:t>
      </w:r>
      <w:proofErr w:type="gramStart"/>
      <w:r w:rsidRPr="00C2434D">
        <w:rPr>
          <w:rFonts w:ascii="Book Antiqua" w:hAnsi="Book Antiqua"/>
        </w:rPr>
        <w:t>[Mental Health Records].</w:t>
      </w:r>
      <w:proofErr w:type="gramEnd"/>
    </w:p>
  </w:footnote>
  <w:footnote w:id="7">
    <w:p w:rsidR="00C975A3" w:rsidRDefault="00C975A3" w:rsidP="00661200">
      <w:pPr>
        <w:rPr>
          <w:sz w:val="16"/>
          <w:szCs w:val="16"/>
        </w:rPr>
      </w:pPr>
      <w:r w:rsidRPr="00C2434D">
        <w:rPr>
          <w:rStyle w:val="FootnoteReference"/>
          <w:rFonts w:ascii="Book Antiqua" w:hAnsi="Book Antiqua"/>
          <w:sz w:val="16"/>
          <w:szCs w:val="16"/>
        </w:rPr>
        <w:footnoteRef/>
      </w:r>
      <w:r>
        <w:rPr>
          <w:rFonts w:ascii="Book Antiqua" w:hAnsi="Book Antiqua"/>
          <w:sz w:val="16"/>
          <w:szCs w:val="16"/>
        </w:rPr>
        <w:t>42 USC §290dd-2; 42 CFR</w:t>
      </w:r>
      <w:r w:rsidRPr="00C2434D">
        <w:rPr>
          <w:rFonts w:ascii="Book Antiqua" w:hAnsi="Book Antiqua"/>
          <w:sz w:val="16"/>
          <w:szCs w:val="16"/>
        </w:rPr>
        <w:t>, Part 2, §2.31 [Alcohol and Drug Abuse Records], as amended from time to time.</w:t>
      </w:r>
    </w:p>
  </w:footnote>
  <w:footnote w:id="8">
    <w:p w:rsidR="00C975A3" w:rsidRPr="00C2434D" w:rsidRDefault="00C975A3" w:rsidP="00661200">
      <w:pPr>
        <w:pStyle w:val="FootnoteText"/>
        <w:rPr>
          <w:rFonts w:ascii="Book Antiqua" w:hAnsi="Book Antiqua"/>
          <w:lang w:val="fr-FR"/>
        </w:rPr>
      </w:pPr>
      <w:r w:rsidRPr="00C2434D">
        <w:rPr>
          <w:rStyle w:val="FootnoteReference"/>
          <w:rFonts w:ascii="Book Antiqua" w:hAnsi="Book Antiqua"/>
        </w:rPr>
        <w:footnoteRef/>
      </w:r>
      <w:r w:rsidRPr="00C2434D">
        <w:rPr>
          <w:rFonts w:ascii="Book Antiqua" w:hAnsi="Book Antiqua"/>
        </w:rPr>
        <w:t xml:space="preserve"> </w:t>
      </w:r>
      <w:proofErr w:type="gramStart"/>
      <w:r w:rsidRPr="00C2434D">
        <w:rPr>
          <w:rFonts w:ascii="Book Antiqua" w:hAnsi="Book Antiqua"/>
        </w:rPr>
        <w:t>See Texas Healt</w:t>
      </w:r>
      <w:r>
        <w:rPr>
          <w:rFonts w:ascii="Book Antiqua" w:hAnsi="Book Antiqua"/>
        </w:rPr>
        <w:t>h and Safety Code Chapter 81, §81.001</w:t>
      </w:r>
      <w:r w:rsidRPr="00C2434D">
        <w:rPr>
          <w:rFonts w:ascii="Book Antiqua" w:hAnsi="Book Antiqua"/>
        </w:rPr>
        <w:t xml:space="preserve"> </w:t>
      </w:r>
      <w:r>
        <w:rPr>
          <w:rFonts w:ascii="Book Antiqua" w:hAnsi="Book Antiqua"/>
          <w:lang w:val="fr-FR"/>
        </w:rPr>
        <w:t xml:space="preserve">[Communicable </w:t>
      </w:r>
      <w:proofErr w:type="spellStart"/>
      <w:r>
        <w:rPr>
          <w:rFonts w:ascii="Book Antiqua" w:hAnsi="Book Antiqua"/>
          <w:lang w:val="fr-FR"/>
        </w:rPr>
        <w:t>Diseases</w:t>
      </w:r>
      <w:proofErr w:type="spellEnd"/>
      <w:r w:rsidRPr="00C2434D">
        <w:rPr>
          <w:rFonts w:ascii="Book Antiqua" w:hAnsi="Book Antiqua"/>
          <w:lang w:val="fr-FR"/>
        </w:rPr>
        <w:t>].</w:t>
      </w:r>
      <w:proofErr w:type="gramEnd"/>
    </w:p>
  </w:footnote>
  <w:footnote w:id="9">
    <w:p w:rsidR="00C975A3" w:rsidRPr="00C2434D" w:rsidRDefault="00C975A3" w:rsidP="00661200">
      <w:pPr>
        <w:rPr>
          <w:sz w:val="16"/>
          <w:szCs w:val="16"/>
        </w:rPr>
      </w:pPr>
      <w:r w:rsidRPr="00C2434D">
        <w:rPr>
          <w:rStyle w:val="FootnoteReference"/>
          <w:rFonts w:ascii="Book Antiqua" w:hAnsi="Book Antiqua" w:cs="Arial"/>
          <w:sz w:val="16"/>
          <w:szCs w:val="16"/>
        </w:rPr>
        <w:footnoteRef/>
      </w:r>
      <w:r w:rsidRPr="00C2434D">
        <w:rPr>
          <w:rFonts w:ascii="Book Antiqua" w:hAnsi="Book Antiqua"/>
          <w:sz w:val="16"/>
          <w:szCs w:val="16"/>
          <w:lang w:val="fr-FR"/>
        </w:rPr>
        <w:t xml:space="preserve"> Tex</w:t>
      </w:r>
      <w:r>
        <w:rPr>
          <w:rFonts w:ascii="Book Antiqua" w:hAnsi="Book Antiqua"/>
          <w:sz w:val="16"/>
          <w:szCs w:val="16"/>
          <w:lang w:val="fr-FR"/>
        </w:rPr>
        <w:t>as</w:t>
      </w:r>
      <w:r w:rsidRPr="00C2434D">
        <w:rPr>
          <w:rFonts w:ascii="Book Antiqua" w:hAnsi="Book Antiqua"/>
          <w:sz w:val="16"/>
          <w:szCs w:val="16"/>
          <w:lang w:val="fr-FR"/>
        </w:rPr>
        <w:t xml:space="preserve"> Occ</w:t>
      </w:r>
      <w:r>
        <w:rPr>
          <w:rFonts w:ascii="Book Antiqua" w:hAnsi="Book Antiqua"/>
          <w:sz w:val="16"/>
          <w:szCs w:val="16"/>
          <w:lang w:val="fr-FR"/>
        </w:rPr>
        <w:t>upations</w:t>
      </w:r>
      <w:r w:rsidRPr="00C2434D">
        <w:rPr>
          <w:rFonts w:ascii="Book Antiqua" w:hAnsi="Book Antiqua"/>
          <w:sz w:val="16"/>
          <w:szCs w:val="16"/>
          <w:lang w:val="fr-FR"/>
        </w:rPr>
        <w:t xml:space="preserve"> Code </w:t>
      </w:r>
      <w:proofErr w:type="spellStart"/>
      <w:r w:rsidRPr="00C2434D">
        <w:rPr>
          <w:rFonts w:ascii="Book Antiqua" w:hAnsi="Book Antiqua"/>
          <w:sz w:val="16"/>
          <w:szCs w:val="16"/>
          <w:lang w:val="fr-FR"/>
        </w:rPr>
        <w:t>Chapter</w:t>
      </w:r>
      <w:proofErr w:type="spellEnd"/>
      <w:r w:rsidRPr="00C2434D">
        <w:rPr>
          <w:rFonts w:ascii="Book Antiqua" w:hAnsi="Book Antiqua"/>
          <w:sz w:val="16"/>
          <w:szCs w:val="16"/>
          <w:lang w:val="fr-FR"/>
        </w:rPr>
        <w:t> </w:t>
      </w:r>
      <w:r>
        <w:rPr>
          <w:rFonts w:ascii="Book Antiqua" w:hAnsi="Book Antiqua"/>
          <w:sz w:val="16"/>
          <w:szCs w:val="16"/>
          <w:lang w:val="fr-FR"/>
        </w:rPr>
        <w:t xml:space="preserve">58, </w:t>
      </w:r>
      <w:proofErr w:type="spellStart"/>
      <w:r>
        <w:rPr>
          <w:rFonts w:ascii="Book Antiqua" w:hAnsi="Book Antiqua"/>
          <w:sz w:val="16"/>
          <w:szCs w:val="16"/>
          <w:lang w:val="fr-FR"/>
        </w:rPr>
        <w:t>Subchapter</w:t>
      </w:r>
      <w:proofErr w:type="spellEnd"/>
      <w:r>
        <w:rPr>
          <w:rFonts w:ascii="Book Antiqua" w:hAnsi="Book Antiqua"/>
          <w:sz w:val="16"/>
          <w:szCs w:val="16"/>
          <w:lang w:val="fr-FR"/>
        </w:rPr>
        <w:t> C, § 58.102; Texas</w:t>
      </w:r>
      <w:r w:rsidRPr="00C2434D">
        <w:rPr>
          <w:rFonts w:ascii="Book Antiqua" w:hAnsi="Book Antiqua"/>
          <w:sz w:val="16"/>
          <w:szCs w:val="16"/>
          <w:lang w:val="fr-FR"/>
        </w:rPr>
        <w:t xml:space="preserve"> </w:t>
      </w:r>
      <w:r w:rsidRPr="00C2434D">
        <w:rPr>
          <w:rFonts w:ascii="Book Antiqua" w:hAnsi="Book Antiqua"/>
          <w:sz w:val="16"/>
          <w:szCs w:val="16"/>
        </w:rPr>
        <w:t>Labor</w:t>
      </w:r>
      <w:r>
        <w:rPr>
          <w:rFonts w:ascii="Book Antiqua" w:hAnsi="Book Antiqua"/>
          <w:sz w:val="16"/>
          <w:szCs w:val="16"/>
        </w:rPr>
        <w:t xml:space="preserve"> Code §21.403 [Employers]; 45 CF</w:t>
      </w:r>
      <w:r w:rsidRPr="00C2434D">
        <w:rPr>
          <w:rFonts w:ascii="Book Antiqua" w:hAnsi="Book Antiqua"/>
          <w:sz w:val="16"/>
          <w:szCs w:val="16"/>
        </w:rPr>
        <w:t>R</w:t>
      </w:r>
      <w:r>
        <w:rPr>
          <w:rFonts w:ascii="Book Antiqua" w:hAnsi="Book Antiqua"/>
          <w:sz w:val="16"/>
          <w:szCs w:val="16"/>
        </w:rPr>
        <w:t xml:space="preserve"> §</w:t>
      </w:r>
      <w:r w:rsidRPr="00C2434D">
        <w:rPr>
          <w:rFonts w:ascii="Book Antiqua" w:hAnsi="Book Antiqua"/>
          <w:sz w:val="16"/>
          <w:szCs w:val="16"/>
        </w:rPr>
        <w:t>164.508(a)(1) [Disclosure for Genetic Counseling under HIPAA]; See generally</w:t>
      </w:r>
      <w:r>
        <w:rPr>
          <w:rFonts w:ascii="Book Antiqua" w:hAnsi="Book Antiqua"/>
          <w:sz w:val="16"/>
          <w:szCs w:val="16"/>
        </w:rPr>
        <w:t>, Texas Occupations Code §</w:t>
      </w:r>
      <w:r w:rsidRPr="00C2434D">
        <w:rPr>
          <w:rFonts w:ascii="Book Antiqua" w:hAnsi="Book Antiqua"/>
          <w:sz w:val="16"/>
          <w:szCs w:val="16"/>
        </w:rPr>
        <w:t>159.002(c)) [Regarding “Confidential Communications” between Physician and Patient, re-disclosure of confidential health information is prohibited except to the extent the disclosure is consistent with the authorized purposes for which the information was first obtained].</w:t>
      </w:r>
    </w:p>
  </w:footnote>
  <w:footnote w:id="10">
    <w:p w:rsidR="00C975A3" w:rsidRPr="00F566F6" w:rsidRDefault="00C975A3" w:rsidP="00661200">
      <w:pPr>
        <w:pStyle w:val="FootnoteText"/>
        <w:rPr>
          <w:rFonts w:ascii="Book Antiqua" w:hAnsi="Book Antiqua"/>
        </w:rPr>
      </w:pPr>
      <w:r w:rsidRPr="00F566F6">
        <w:rPr>
          <w:rStyle w:val="FootnoteReference"/>
          <w:rFonts w:ascii="Book Antiqua" w:hAnsi="Book Antiqua"/>
        </w:rPr>
        <w:footnoteRef/>
      </w:r>
      <w:r w:rsidRPr="00F566F6">
        <w:rPr>
          <w:rFonts w:ascii="Book Antiqua" w:hAnsi="Book Antiqua"/>
        </w:rPr>
        <w:t xml:space="preserve"> </w:t>
      </w:r>
      <w:proofErr w:type="gramStart"/>
      <w:r w:rsidRPr="00F566F6">
        <w:rPr>
          <w:rFonts w:ascii="Book Antiqua" w:hAnsi="Book Antiqua"/>
        </w:rPr>
        <w:t>Public Law 104-191 (104</w:t>
      </w:r>
      <w:r w:rsidRPr="00F566F6">
        <w:rPr>
          <w:rFonts w:ascii="Book Antiqua" w:hAnsi="Book Antiqua"/>
          <w:vertAlign w:val="superscript"/>
        </w:rPr>
        <w:t>th</w:t>
      </w:r>
      <w:r w:rsidRPr="00F566F6">
        <w:rPr>
          <w:rFonts w:ascii="Book Antiqua" w:hAnsi="Book Antiqua"/>
        </w:rPr>
        <w:t xml:space="preserve"> Congre</w:t>
      </w:r>
      <w:r>
        <w:rPr>
          <w:rFonts w:ascii="Book Antiqua" w:hAnsi="Book Antiqua"/>
        </w:rPr>
        <w:t>ss).</w:t>
      </w:r>
      <w:proofErr w:type="gramEnd"/>
      <w:r>
        <w:rPr>
          <w:rFonts w:ascii="Book Antiqua" w:hAnsi="Book Antiqua"/>
        </w:rPr>
        <w:t xml:space="preserve">  HIPAA is codified at 42 US. §</w:t>
      </w:r>
      <w:r w:rsidRPr="00F566F6">
        <w:rPr>
          <w:rFonts w:ascii="Book Antiqua" w:hAnsi="Book Antiqua"/>
        </w:rPr>
        <w:t>1320d – 1320d-8, and its regulations, including the “Standards for Privacy of Individually Identifiable Protected Health Inf</w:t>
      </w:r>
      <w:r>
        <w:rPr>
          <w:rFonts w:ascii="Book Antiqua" w:hAnsi="Book Antiqua"/>
        </w:rPr>
        <w:t>ormation” (Privacy Regulations</w:t>
      </w:r>
      <w:r w:rsidRPr="00F566F6">
        <w:rPr>
          <w:rFonts w:ascii="Book Antiqua" w:hAnsi="Book Antiqua"/>
        </w:rPr>
        <w:t xml:space="preserve">) and the “Security Standards for Electronic </w:t>
      </w:r>
      <w:r>
        <w:rPr>
          <w:rFonts w:ascii="Book Antiqua" w:hAnsi="Book Antiqua"/>
        </w:rPr>
        <w:t>Protected Health Information” (Security Regulations</w:t>
      </w:r>
      <w:r w:rsidRPr="00F566F6">
        <w:rPr>
          <w:rFonts w:ascii="Book Antiqua" w:hAnsi="Book Antiqua"/>
        </w:rPr>
        <w:t>) are codified at 4</w:t>
      </w:r>
      <w:r>
        <w:rPr>
          <w:rFonts w:ascii="Book Antiqua" w:hAnsi="Book Antiqua"/>
        </w:rPr>
        <w:t>5 CFR</w:t>
      </w:r>
      <w:r w:rsidRPr="00F566F6">
        <w:rPr>
          <w:rFonts w:ascii="Book Antiqua" w:hAnsi="Book Antiqua"/>
        </w:rPr>
        <w:t xml:space="preserve"> Parts 160, 162 and 164 (collectively, “the Privac</w:t>
      </w:r>
      <w:r>
        <w:rPr>
          <w:rFonts w:ascii="Book Antiqua" w:hAnsi="Book Antiqua"/>
        </w:rPr>
        <w:t xml:space="preserve">y and Security Regulations” or  </w:t>
      </w:r>
      <w:r w:rsidRPr="00F566F6">
        <w:rPr>
          <w:rFonts w:ascii="Book Antiqua" w:hAnsi="Book Antiqua"/>
        </w:rPr>
        <w:t>HIPAA).</w:t>
      </w:r>
    </w:p>
  </w:footnote>
  <w:footnote w:id="11">
    <w:p w:rsidR="00C975A3" w:rsidRDefault="00C975A3" w:rsidP="00661200">
      <w:pPr>
        <w:pStyle w:val="FootnoteText"/>
      </w:pPr>
      <w:r w:rsidRPr="00FF2AA2">
        <w:rPr>
          <w:rStyle w:val="FootnoteReference"/>
          <w:rFonts w:ascii="Book Antiqua" w:hAnsi="Book Antiqua"/>
        </w:rPr>
        <w:footnoteRef/>
      </w:r>
      <w:r w:rsidRPr="00FF2AA2">
        <w:rPr>
          <w:rFonts w:ascii="Book Antiqua" w:hAnsi="Book Antiqua"/>
        </w:rPr>
        <w:t xml:space="preserve"> The Texas Identity Theft Enforcement and Protection Act requires businesses, including health care providers, disclose unauthorized acquisition of computerized data – including information that identifies an individual and relates to the individual’s physical or mental health, provision of health care to the individual, or payment for the provision of health care to the individual – that compromises the security, confidentiality, or integrity of such information to affected individuals as quickly as possible.  The </w:t>
      </w:r>
      <w:smartTag w:uri="urn:schemas-microsoft-com:office:smarttags" w:element="State">
        <w:smartTag w:uri="urn:schemas-microsoft-com:office:smarttags" w:element="place">
          <w:r w:rsidRPr="00FF2AA2">
            <w:rPr>
              <w:rFonts w:ascii="Book Antiqua" w:hAnsi="Book Antiqua"/>
            </w:rPr>
            <w:t>Texas</w:t>
          </w:r>
        </w:smartTag>
      </w:smartTag>
      <w:r w:rsidRPr="00FF2AA2">
        <w:rPr>
          <w:rFonts w:ascii="Book Antiqua" w:hAnsi="Book Antiqua"/>
        </w:rPr>
        <w:t xml:space="preserve"> state law does not explicitly contain a harm threshold, and could be construed to require disclosure of all unauthorized acquisition, regardless of the risk of harm to the affected individual.  HIPAA generally preempts “contrary” provisions of state law.  A state law is contrary when “a Covered Entity would find it impossible to comply with both the State and federal requirements, or the provision of state law stands as an accomplishment and execution of the full purposes </w:t>
      </w:r>
      <w:r>
        <w:rPr>
          <w:rFonts w:ascii="Book Antiqua" w:hAnsi="Book Antiqua"/>
        </w:rPr>
        <w:t xml:space="preserve">and objectives” of HIPAA.  </w:t>
      </w:r>
      <w:proofErr w:type="gramStart"/>
      <w:r>
        <w:rPr>
          <w:rFonts w:ascii="Book Antiqua" w:hAnsi="Book Antiqua"/>
        </w:rPr>
        <w:t>45 C</w:t>
      </w:r>
      <w:r w:rsidRPr="00FF2AA2">
        <w:rPr>
          <w:rFonts w:ascii="Book Antiqua" w:hAnsi="Book Antiqua"/>
        </w:rPr>
        <w:t>FR</w:t>
      </w:r>
      <w:r>
        <w:rPr>
          <w:rFonts w:ascii="Book Antiqua" w:hAnsi="Book Antiqua"/>
        </w:rPr>
        <w:t xml:space="preserve"> §</w:t>
      </w:r>
      <w:r w:rsidRPr="00FF2AA2">
        <w:rPr>
          <w:rFonts w:ascii="Book Antiqua" w:hAnsi="Book Antiqua"/>
        </w:rPr>
        <w:t>160.201.</w:t>
      </w:r>
      <w:proofErr w:type="gramEnd"/>
      <w:r w:rsidRPr="00FF2AA2">
        <w:rPr>
          <w:rFonts w:ascii="Book Antiqua" w:hAnsi="Book Antiqua"/>
        </w:rPr>
        <w:t xml:space="preserve">  Although, as discussed above, the HIPAA Privacy Rule does not preempt state laws that offer more protections for patient privacy rights, HHS explicitly said that this exception applies only to the Privacy Rule and does not apply to the Data Breach Notification Rule.  Breach Notification for Unsecured Protected Health Information (Interim Final Rule), 74 Fed</w:t>
      </w:r>
      <w:r>
        <w:rPr>
          <w:rFonts w:ascii="Book Antiqua" w:hAnsi="Book Antiqua"/>
        </w:rPr>
        <w:t>eral</w:t>
      </w:r>
      <w:r w:rsidRPr="00FF2AA2">
        <w:rPr>
          <w:rFonts w:ascii="Book Antiqua" w:hAnsi="Book Antiqua"/>
        </w:rPr>
        <w:t xml:space="preserve"> Reg</w:t>
      </w:r>
      <w:r>
        <w:rPr>
          <w:rFonts w:ascii="Book Antiqua" w:hAnsi="Book Antiqua"/>
        </w:rPr>
        <w:t>ulation</w:t>
      </w:r>
      <w:r w:rsidRPr="00FF2AA2">
        <w:rPr>
          <w:rFonts w:ascii="Book Antiqua" w:hAnsi="Book Antiqua"/>
        </w:rPr>
        <w:t xml:space="preserve"> 42,740, 42,576 (Aug. 24, 2009).  The </w:t>
      </w:r>
      <w:smartTag w:uri="urn:schemas-microsoft-com:office:smarttags" w:element="State">
        <w:smartTag w:uri="urn:schemas-microsoft-com:office:smarttags" w:element="place">
          <w:r w:rsidRPr="00FF2AA2">
            <w:rPr>
              <w:rFonts w:ascii="Book Antiqua" w:hAnsi="Book Antiqua"/>
            </w:rPr>
            <w:t>Texas</w:t>
          </w:r>
        </w:smartTag>
      </w:smartTag>
      <w:r w:rsidRPr="00FF2AA2">
        <w:rPr>
          <w:rFonts w:ascii="Book Antiqua" w:hAnsi="Book Antiqua"/>
        </w:rPr>
        <w:t xml:space="preserve"> could arguably be preempted because it does not contain a harm threshold and thus imposes burdens on Covered Entities that the federal law intended to remove.  However, as this area of privacy law is still developing, it is unclear that the preemption argument would be successful.  Centers should contact their local counsel for additional guidance in case of data breach.</w:t>
      </w:r>
      <w:r>
        <w:t xml:space="preserve"> </w:t>
      </w:r>
    </w:p>
  </w:footnote>
  <w:footnote w:id="12">
    <w:p w:rsidR="0070340C" w:rsidRDefault="0070340C">
      <w:pPr>
        <w:pStyle w:val="FootnoteText"/>
      </w:pPr>
      <w:r>
        <w:rPr>
          <w:rStyle w:val="FootnoteReference"/>
        </w:rPr>
        <w:footnoteRef/>
      </w:r>
      <w:r>
        <w:t xml:space="preserve"> ICD-9 will </w:t>
      </w:r>
      <w:r w:rsidR="007B1BB4">
        <w:t xml:space="preserve">soon </w:t>
      </w:r>
      <w:r>
        <w:t>convert to ICD-10. Compliance date as of 3.15.2012 is 10.1.2013.</w:t>
      </w:r>
      <w:r w:rsidR="007B1BB4">
        <w:t xml:space="preserve"> Please see ICD-10 training modules on CHLN.org for more information.</w:t>
      </w:r>
    </w:p>
  </w:footnote>
  <w:footnote w:id="13">
    <w:p w:rsidR="00C975A3" w:rsidRPr="00FF2AA2" w:rsidRDefault="00C975A3" w:rsidP="00661200">
      <w:pPr>
        <w:pStyle w:val="FootnoteText"/>
        <w:rPr>
          <w:rFonts w:ascii="Book Antiqua" w:hAnsi="Book Antiqua"/>
        </w:rPr>
      </w:pPr>
      <w:r w:rsidRPr="00FF2AA2">
        <w:rPr>
          <w:rStyle w:val="FootnoteReference"/>
          <w:rFonts w:ascii="Book Antiqua" w:hAnsi="Book Antiqua"/>
        </w:rPr>
        <w:footnoteRef/>
      </w:r>
      <w:r>
        <w:rPr>
          <w:rFonts w:ascii="Book Antiqua" w:hAnsi="Book Antiqua"/>
        </w:rPr>
        <w:t xml:space="preserve"> 45 CF</w:t>
      </w:r>
      <w:r w:rsidRPr="00FF2AA2">
        <w:rPr>
          <w:rFonts w:ascii="Book Antiqua" w:hAnsi="Book Antiqua"/>
        </w:rPr>
        <w:t xml:space="preserve">R </w:t>
      </w:r>
      <w:proofErr w:type="gramStart"/>
      <w:r w:rsidRPr="00FF2AA2">
        <w:rPr>
          <w:rFonts w:ascii="Book Antiqua" w:hAnsi="Book Antiqua"/>
        </w:rPr>
        <w:t>Part</w:t>
      </w:r>
      <w:proofErr w:type="gramEnd"/>
      <w:r w:rsidRPr="00FF2AA2">
        <w:rPr>
          <w:rFonts w:ascii="Book Antiqua" w:hAnsi="Book Antiqua"/>
        </w:rPr>
        <w:t> 162.</w:t>
      </w:r>
    </w:p>
  </w:footnote>
  <w:footnote w:id="14">
    <w:p w:rsidR="00C975A3" w:rsidRDefault="00C975A3" w:rsidP="00661200">
      <w:pPr>
        <w:pStyle w:val="FootnoteText"/>
      </w:pPr>
      <w:r w:rsidRPr="00FF2AA2">
        <w:rPr>
          <w:rStyle w:val="FootnoteReference"/>
          <w:rFonts w:ascii="Book Antiqua" w:hAnsi="Book Antiqua"/>
        </w:rPr>
        <w:footnoteRef/>
      </w:r>
      <w:r w:rsidRPr="00FF2AA2">
        <w:rPr>
          <w:rFonts w:ascii="Book Antiqua" w:hAnsi="Book Antiqua"/>
        </w:rPr>
        <w:t xml:space="preserve"> The regulations pertaining to the use of a NPI has various effective dates of compliance:  The Emplo</w:t>
      </w:r>
      <w:r>
        <w:rPr>
          <w:rFonts w:ascii="Book Antiqua" w:hAnsi="Book Antiqua"/>
        </w:rPr>
        <w:t>yer Identification Number (EIN</w:t>
      </w:r>
      <w:r w:rsidRPr="00FF2AA2">
        <w:rPr>
          <w:rFonts w:ascii="Book Antiqua" w:hAnsi="Book Antiqua"/>
        </w:rPr>
        <w:t>) issued by</w:t>
      </w:r>
      <w:r>
        <w:rPr>
          <w:rFonts w:ascii="Book Antiqua" w:hAnsi="Book Antiqua"/>
        </w:rPr>
        <w:t xml:space="preserve"> the Internal Revenue Service (IRS</w:t>
      </w:r>
      <w:r w:rsidRPr="00FF2AA2">
        <w:rPr>
          <w:rFonts w:ascii="Book Antiqua" w:hAnsi="Book Antiqua"/>
        </w:rPr>
        <w:t>) was selected as the identifier for employers on standard transact</w:t>
      </w:r>
      <w:r>
        <w:rPr>
          <w:rFonts w:ascii="Book Antiqua" w:hAnsi="Book Antiqua"/>
        </w:rPr>
        <w:t xml:space="preserve">ions, effective July 30, 2002. </w:t>
      </w:r>
      <w:r w:rsidRPr="00FF2AA2">
        <w:rPr>
          <w:rFonts w:ascii="Book Antiqua" w:hAnsi="Book Antiqua"/>
        </w:rPr>
        <w:t>However, Centers and Physician providers must obtain a NPI by May 23, 2007.  The unique identifier for health plans is pending.</w:t>
      </w:r>
      <w:r>
        <w:t xml:space="preserve">  </w:t>
      </w:r>
    </w:p>
  </w:footnote>
  <w:footnote w:id="15">
    <w:p w:rsidR="00C975A3" w:rsidRPr="00FF2AA2" w:rsidRDefault="00C975A3" w:rsidP="00661200">
      <w:pPr>
        <w:pStyle w:val="FootnoteText"/>
        <w:rPr>
          <w:rFonts w:ascii="Book Antiqua" w:hAnsi="Book Antiqua"/>
        </w:rPr>
      </w:pPr>
      <w:r w:rsidRPr="00FF2AA2">
        <w:rPr>
          <w:rStyle w:val="FootnoteReference"/>
          <w:rFonts w:ascii="Book Antiqua" w:hAnsi="Book Antiqua"/>
        </w:rPr>
        <w:footnoteRef/>
      </w:r>
      <w:r w:rsidRPr="00FF2AA2">
        <w:rPr>
          <w:rStyle w:val="FootnoteReference"/>
          <w:rFonts w:ascii="Book Antiqua" w:hAnsi="Book Antiqua"/>
        </w:rPr>
        <w:t xml:space="preserve"> </w:t>
      </w:r>
      <w:proofErr w:type="gramStart"/>
      <w:r>
        <w:rPr>
          <w:rFonts w:ascii="Book Antiqua" w:hAnsi="Book Antiqua"/>
        </w:rPr>
        <w:t>45 CFR §162.402</w:t>
      </w:r>
      <w:r w:rsidRPr="00FF2AA2">
        <w:rPr>
          <w:rFonts w:ascii="Book Antiqua" w:hAnsi="Book Antiqua"/>
        </w:rPr>
        <w:t>.</w:t>
      </w:r>
      <w:proofErr w:type="gramEnd"/>
    </w:p>
  </w:footnote>
  <w:footnote w:id="16">
    <w:p w:rsidR="00C975A3" w:rsidRDefault="00C975A3" w:rsidP="00661200">
      <w:pPr>
        <w:pStyle w:val="FootnoteText"/>
      </w:pPr>
      <w:r w:rsidRPr="00FF2AA2">
        <w:rPr>
          <w:rStyle w:val="FootnoteReference"/>
          <w:rFonts w:ascii="Book Antiqua" w:hAnsi="Book Antiqua"/>
        </w:rPr>
        <w:footnoteRef/>
      </w:r>
      <w:r w:rsidRPr="00FF2AA2">
        <w:rPr>
          <w:rFonts w:ascii="Book Antiqua" w:hAnsi="Book Antiqua"/>
        </w:rPr>
        <w:t xml:space="preserve"> Prior to July 2009, CMS enforced the Security Rule while OCR enforced the Privacy Rule.  On July 27, 2009, the Secretary of HHS delegated authority to OCR to enforce both HIPAA Rules.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2543F34"/>
    <w:lvl w:ilvl="0">
      <w:start w:val="1"/>
      <w:numFmt w:val="decimal"/>
      <w:pStyle w:val="ListNumber"/>
      <w:lvlText w:val="%1."/>
      <w:lvlJc w:val="left"/>
      <w:pPr>
        <w:tabs>
          <w:tab w:val="num" w:pos="360"/>
        </w:tabs>
        <w:ind w:left="360" w:hanging="360"/>
      </w:pPr>
    </w:lvl>
  </w:abstractNum>
  <w:abstractNum w:abstractNumId="1">
    <w:nsid w:val="13472D20"/>
    <w:multiLevelType w:val="hybridMultilevel"/>
    <w:tmpl w:val="8AA087E0"/>
    <w:lvl w:ilvl="0" w:tplc="7826AB96">
      <w:start w:val="1"/>
      <w:numFmt w:val="upperLetter"/>
      <w:lvlText w:val="%1."/>
      <w:lvlJc w:val="left"/>
      <w:pPr>
        <w:ind w:left="1080" w:hanging="360"/>
      </w:pPr>
      <w:rPr>
        <w:b/>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D93F54"/>
    <w:multiLevelType w:val="hybridMultilevel"/>
    <w:tmpl w:val="5952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440DB"/>
    <w:multiLevelType w:val="hybridMultilevel"/>
    <w:tmpl w:val="B8A893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D1326E9"/>
    <w:multiLevelType w:val="multilevel"/>
    <w:tmpl w:val="42506762"/>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b/>
      </w:rPr>
    </w:lvl>
    <w:lvl w:ilvl="2">
      <w:start w:val="1"/>
      <w:numFmt w:val="decimal"/>
      <w:lvlText w:val="%3."/>
      <w:lvlJc w:val="left"/>
      <w:pPr>
        <w:tabs>
          <w:tab w:val="num" w:pos="720"/>
        </w:tabs>
        <w:ind w:left="2160" w:hanging="720"/>
      </w:pPr>
      <w:rPr>
        <w:rFonts w:ascii="Book Antiqua" w:eastAsiaTheme="minorHAnsi" w:hAnsi="Book Antiqua" w:cstheme="minorBidi"/>
      </w:rPr>
    </w:lvl>
    <w:lvl w:ilvl="3">
      <w:start w:val="1"/>
      <w:numFmt w:val="lowerLetter"/>
      <w:lvlText w:val="%4."/>
      <w:lvlJc w:val="left"/>
      <w:pPr>
        <w:tabs>
          <w:tab w:val="num" w:pos="720"/>
        </w:tabs>
        <w:ind w:left="2880" w:hanging="720"/>
      </w:pPr>
      <w:rPr>
        <w:rFonts w:hint="default"/>
        <w:sz w:val="20"/>
        <w:szCs w:val="20"/>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D7D67F1"/>
    <w:multiLevelType w:val="hybridMultilevel"/>
    <w:tmpl w:val="B6E065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702BE9"/>
    <w:multiLevelType w:val="hybridMultilevel"/>
    <w:tmpl w:val="C924DD3C"/>
    <w:lvl w:ilvl="0" w:tplc="0AD00AA0">
      <w:start w:val="1"/>
      <w:numFmt w:val="upperLetter"/>
      <w:lvlText w:val="%1."/>
      <w:lvlJc w:val="left"/>
      <w:pPr>
        <w:ind w:left="1080" w:hanging="360"/>
      </w:pPr>
      <w:rPr>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673FB3"/>
    <w:multiLevelType w:val="hybridMultilevel"/>
    <w:tmpl w:val="4DA04ED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DA7A1BDA">
      <w:start w:val="1"/>
      <w:numFmt w:val="decimal"/>
      <w:lvlText w:val="%3."/>
      <w:lvlJc w:val="right"/>
      <w:pPr>
        <w:ind w:left="2520" w:hanging="180"/>
      </w:pPr>
      <w:rPr>
        <w:rFonts w:ascii="Book Antiqua" w:eastAsia="Times New Roman" w:hAnsi="Book Antiqua"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46680B"/>
    <w:multiLevelType w:val="hybridMultilevel"/>
    <w:tmpl w:val="AFFE17AC"/>
    <w:lvl w:ilvl="0" w:tplc="3988A4D4">
      <w:start w:val="1"/>
      <w:numFmt w:val="upperLetter"/>
      <w:lvlText w:val="%1."/>
      <w:lvlJc w:val="left"/>
      <w:pPr>
        <w:ind w:left="1080" w:hanging="360"/>
      </w:pPr>
      <w:rPr>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4623FF"/>
    <w:multiLevelType w:val="hybridMultilevel"/>
    <w:tmpl w:val="27D6BE4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0"/>
  </w:num>
  <w:num w:numId="3">
    <w:abstractNumId w:val="4"/>
  </w:num>
  <w:num w:numId="4">
    <w:abstractNumId w:val="8"/>
  </w:num>
  <w:num w:numId="5">
    <w:abstractNumId w:val="5"/>
  </w:num>
  <w:num w:numId="6">
    <w:abstractNumId w:val="6"/>
  </w:num>
  <w:num w:numId="7">
    <w:abstractNumId w:val="7"/>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CD0ED7"/>
    <w:rsid w:val="0006390E"/>
    <w:rsid w:val="00096803"/>
    <w:rsid w:val="000C7DBF"/>
    <w:rsid w:val="000E735F"/>
    <w:rsid w:val="000F2286"/>
    <w:rsid w:val="00145659"/>
    <w:rsid w:val="001606EB"/>
    <w:rsid w:val="001B0519"/>
    <w:rsid w:val="001C37C5"/>
    <w:rsid w:val="00222724"/>
    <w:rsid w:val="002F23C4"/>
    <w:rsid w:val="00384D0E"/>
    <w:rsid w:val="003F02C0"/>
    <w:rsid w:val="00422F35"/>
    <w:rsid w:val="004530C4"/>
    <w:rsid w:val="00455DFB"/>
    <w:rsid w:val="004579A2"/>
    <w:rsid w:val="00472683"/>
    <w:rsid w:val="00480890"/>
    <w:rsid w:val="004C32B5"/>
    <w:rsid w:val="004D0014"/>
    <w:rsid w:val="00536DA5"/>
    <w:rsid w:val="00580EAB"/>
    <w:rsid w:val="00590910"/>
    <w:rsid w:val="005C7313"/>
    <w:rsid w:val="00661200"/>
    <w:rsid w:val="00662047"/>
    <w:rsid w:val="00697AF6"/>
    <w:rsid w:val="006A44BE"/>
    <w:rsid w:val="006A4589"/>
    <w:rsid w:val="006F26DA"/>
    <w:rsid w:val="006F50AB"/>
    <w:rsid w:val="0070340C"/>
    <w:rsid w:val="00753B79"/>
    <w:rsid w:val="00753BB8"/>
    <w:rsid w:val="00765C48"/>
    <w:rsid w:val="007B1BB4"/>
    <w:rsid w:val="007C2616"/>
    <w:rsid w:val="007D23FB"/>
    <w:rsid w:val="007E3E8C"/>
    <w:rsid w:val="00811FDE"/>
    <w:rsid w:val="008370C0"/>
    <w:rsid w:val="008A76FA"/>
    <w:rsid w:val="008C003D"/>
    <w:rsid w:val="008D2654"/>
    <w:rsid w:val="008E4312"/>
    <w:rsid w:val="009501D7"/>
    <w:rsid w:val="00955F9F"/>
    <w:rsid w:val="009A1D28"/>
    <w:rsid w:val="009B363C"/>
    <w:rsid w:val="009D1388"/>
    <w:rsid w:val="00A32A31"/>
    <w:rsid w:val="00A5337C"/>
    <w:rsid w:val="00A5436C"/>
    <w:rsid w:val="00AB3959"/>
    <w:rsid w:val="00AF10B7"/>
    <w:rsid w:val="00B34C3B"/>
    <w:rsid w:val="00BD38CF"/>
    <w:rsid w:val="00C01BAC"/>
    <w:rsid w:val="00C05477"/>
    <w:rsid w:val="00C14314"/>
    <w:rsid w:val="00C150BE"/>
    <w:rsid w:val="00C22BB7"/>
    <w:rsid w:val="00C2434D"/>
    <w:rsid w:val="00C37640"/>
    <w:rsid w:val="00C975A3"/>
    <w:rsid w:val="00CC0A4D"/>
    <w:rsid w:val="00CD0ED7"/>
    <w:rsid w:val="00CE5126"/>
    <w:rsid w:val="00D22BA6"/>
    <w:rsid w:val="00DA313E"/>
    <w:rsid w:val="00DA6ABA"/>
    <w:rsid w:val="00DB664F"/>
    <w:rsid w:val="00DD21E3"/>
    <w:rsid w:val="00DD2FDB"/>
    <w:rsid w:val="00DD30BD"/>
    <w:rsid w:val="00E0082B"/>
    <w:rsid w:val="00E03D35"/>
    <w:rsid w:val="00E061F3"/>
    <w:rsid w:val="00E52047"/>
    <w:rsid w:val="00E656FE"/>
    <w:rsid w:val="00EC26BB"/>
    <w:rsid w:val="00EC3991"/>
    <w:rsid w:val="00ED5C75"/>
    <w:rsid w:val="00F02A93"/>
    <w:rsid w:val="00F55C1B"/>
    <w:rsid w:val="00F566F6"/>
    <w:rsid w:val="00F9579E"/>
    <w:rsid w:val="00F97E91"/>
    <w:rsid w:val="00FF2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79E"/>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8E4312"/>
    <w:pPr>
      <w:ind w:left="720"/>
      <w:contextualSpacing/>
    </w:pPr>
  </w:style>
  <w:style w:type="paragraph" w:styleId="BalloonText">
    <w:name w:val="Balloon Text"/>
    <w:basedOn w:val="Normal"/>
    <w:link w:val="BalloonTextChar"/>
    <w:uiPriority w:val="99"/>
    <w:semiHidden/>
    <w:unhideWhenUsed/>
    <w:rsid w:val="001C37C5"/>
    <w:rPr>
      <w:rFonts w:ascii="Tahoma" w:hAnsi="Tahoma" w:cs="Tahoma"/>
      <w:sz w:val="16"/>
      <w:szCs w:val="16"/>
    </w:rPr>
  </w:style>
  <w:style w:type="character" w:customStyle="1" w:styleId="BalloonTextChar">
    <w:name w:val="Balloon Text Char"/>
    <w:basedOn w:val="DefaultParagraphFont"/>
    <w:link w:val="BalloonText"/>
    <w:uiPriority w:val="99"/>
    <w:semiHidden/>
    <w:rsid w:val="001C37C5"/>
    <w:rPr>
      <w:rFonts w:ascii="Tahoma" w:hAnsi="Tahoma" w:cs="Tahoma"/>
      <w:sz w:val="16"/>
      <w:szCs w:val="16"/>
    </w:rPr>
  </w:style>
  <w:style w:type="paragraph" w:styleId="BodyText">
    <w:name w:val="Body Text"/>
    <w:basedOn w:val="Normal"/>
    <w:link w:val="BodyTextChar"/>
    <w:rsid w:val="00661200"/>
    <w:pPr>
      <w:spacing w:after="2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1200"/>
    <w:rPr>
      <w:rFonts w:ascii="Times New Roman" w:eastAsia="Times New Roman" w:hAnsi="Times New Roman" w:cs="Times New Roman"/>
      <w:sz w:val="24"/>
      <w:szCs w:val="20"/>
    </w:rPr>
  </w:style>
  <w:style w:type="character" w:styleId="Hyperlink">
    <w:name w:val="Hyperlink"/>
    <w:basedOn w:val="DefaultParagraphFont"/>
    <w:rsid w:val="00661200"/>
    <w:rPr>
      <w:rFonts w:cs="Times New Roman"/>
      <w:color w:val="0000FF"/>
      <w:u w:val="single"/>
    </w:rPr>
  </w:style>
  <w:style w:type="paragraph" w:styleId="FootnoteText">
    <w:name w:val="footnote text"/>
    <w:aliases w:val="Char Char Char,Char Char Char Char,Char Char Char Char Char Char Char,Char Char Char Char Char,Char Char Char Char Char Char"/>
    <w:basedOn w:val="Normal"/>
    <w:link w:val="FootnoteTextChar1"/>
    <w:rsid w:val="00661200"/>
    <w:rPr>
      <w:rFonts w:ascii="Times New Roman" w:eastAsia="SimSun" w:hAnsi="Times New Roman" w:cs="Times New Roman"/>
      <w:sz w:val="16"/>
      <w:szCs w:val="16"/>
    </w:rPr>
  </w:style>
  <w:style w:type="character" w:customStyle="1" w:styleId="FootnoteTextChar">
    <w:name w:val="Footnote Text Char"/>
    <w:basedOn w:val="DefaultParagraphFont"/>
    <w:link w:val="FootnoteText"/>
    <w:uiPriority w:val="99"/>
    <w:semiHidden/>
    <w:rsid w:val="00661200"/>
    <w:rPr>
      <w:sz w:val="20"/>
      <w:szCs w:val="20"/>
    </w:rPr>
  </w:style>
  <w:style w:type="character" w:customStyle="1" w:styleId="FootnoteTextChar1">
    <w:name w:val="Footnote Text Char1"/>
    <w:aliases w:val="Char Char Char Char1,Char Char Char Char Char1,Char Char Char Char Char Char Char Char,Char Char Char Char Char Char1,Char Char Char Char Char Char Char1"/>
    <w:basedOn w:val="DefaultParagraphFont"/>
    <w:link w:val="FootnoteText"/>
    <w:locked/>
    <w:rsid w:val="00661200"/>
    <w:rPr>
      <w:rFonts w:ascii="Times New Roman" w:eastAsia="SimSun" w:hAnsi="Times New Roman" w:cs="Times New Roman"/>
      <w:sz w:val="16"/>
      <w:szCs w:val="16"/>
    </w:rPr>
  </w:style>
  <w:style w:type="character" w:styleId="FootnoteReference">
    <w:name w:val="footnote reference"/>
    <w:basedOn w:val="DefaultParagraphFont"/>
    <w:rsid w:val="00661200"/>
    <w:rPr>
      <w:vertAlign w:val="superscript"/>
    </w:rPr>
  </w:style>
  <w:style w:type="paragraph" w:styleId="BodyText2">
    <w:name w:val="Body Text 2"/>
    <w:basedOn w:val="BodyText"/>
    <w:link w:val="BodyText2Char"/>
    <w:rsid w:val="00661200"/>
    <w:pPr>
      <w:ind w:firstLine="720"/>
    </w:pPr>
    <w:rPr>
      <w:szCs w:val="24"/>
    </w:rPr>
  </w:style>
  <w:style w:type="character" w:customStyle="1" w:styleId="BodyText2Char">
    <w:name w:val="Body Text 2 Char"/>
    <w:basedOn w:val="DefaultParagraphFont"/>
    <w:link w:val="BodyText2"/>
    <w:rsid w:val="00661200"/>
    <w:rPr>
      <w:rFonts w:ascii="Times New Roman" w:eastAsia="Times New Roman" w:hAnsi="Times New Roman" w:cs="Times New Roman"/>
      <w:sz w:val="24"/>
      <w:szCs w:val="24"/>
    </w:rPr>
  </w:style>
  <w:style w:type="paragraph" w:styleId="ListNumber">
    <w:name w:val="List Number"/>
    <w:basedOn w:val="Normal"/>
    <w:rsid w:val="00661200"/>
    <w:pPr>
      <w:numPr>
        <w:numId w:val="2"/>
      </w:numPr>
      <w:tabs>
        <w:tab w:val="left" w:pos="1440"/>
      </w:tabs>
      <w:spacing w:after="240"/>
    </w:pPr>
    <w:rPr>
      <w:rFonts w:ascii="Times New Roman" w:eastAsia="SimSun" w:hAnsi="Times New Roman" w:cs="Times New Roman"/>
      <w:sz w:val="24"/>
      <w:szCs w:val="24"/>
    </w:rPr>
  </w:style>
  <w:style w:type="character" w:styleId="FollowedHyperlink">
    <w:name w:val="FollowedHyperlink"/>
    <w:basedOn w:val="DefaultParagraphFont"/>
    <w:uiPriority w:val="99"/>
    <w:semiHidden/>
    <w:unhideWhenUsed/>
    <w:rsid w:val="00C01BAC"/>
    <w:rPr>
      <w:color w:val="800080" w:themeColor="followedHyperlink"/>
      <w:u w:val="single"/>
    </w:rPr>
  </w:style>
  <w:style w:type="paragraph" w:styleId="NormalWeb">
    <w:name w:val="Normal (Web)"/>
    <w:basedOn w:val="Normal"/>
    <w:uiPriority w:val="99"/>
    <w:semiHidden/>
    <w:unhideWhenUsed/>
    <w:rsid w:val="00C01BA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14314"/>
    <w:pPr>
      <w:tabs>
        <w:tab w:val="center" w:pos="4680"/>
        <w:tab w:val="right" w:pos="9360"/>
      </w:tabs>
    </w:pPr>
  </w:style>
  <w:style w:type="character" w:customStyle="1" w:styleId="HeaderChar">
    <w:name w:val="Header Char"/>
    <w:basedOn w:val="DefaultParagraphFont"/>
    <w:link w:val="Header"/>
    <w:uiPriority w:val="99"/>
    <w:semiHidden/>
    <w:rsid w:val="00C14314"/>
  </w:style>
  <w:style w:type="paragraph" w:styleId="Footer">
    <w:name w:val="footer"/>
    <w:basedOn w:val="Normal"/>
    <w:link w:val="FooterChar"/>
    <w:uiPriority w:val="99"/>
    <w:unhideWhenUsed/>
    <w:rsid w:val="00C14314"/>
    <w:pPr>
      <w:tabs>
        <w:tab w:val="center" w:pos="4680"/>
        <w:tab w:val="right" w:pos="9360"/>
      </w:tabs>
    </w:pPr>
  </w:style>
  <w:style w:type="character" w:customStyle="1" w:styleId="FooterChar">
    <w:name w:val="Footer Char"/>
    <w:basedOn w:val="DefaultParagraphFont"/>
    <w:link w:val="Footer"/>
    <w:uiPriority w:val="99"/>
    <w:rsid w:val="00C143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y.cit.nih.gov/breach/index.cfm." TargetMode="External"/><Relationship Id="rId13" Type="http://schemas.openxmlformats.org/officeDocument/2006/relationships/hyperlink" Target="http://www.fda.gov/cder/ndc/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s.gov/medicare/hcp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 TargetMode="External"/><Relationship Id="rId5" Type="http://schemas.openxmlformats.org/officeDocument/2006/relationships/webSettings" Target="webSettings.xml"/><Relationship Id="rId15" Type="http://schemas.openxmlformats.org/officeDocument/2006/relationships/hyperlink" Target="http://www.cms.gov/HIPAAGenInfo/04_PrivacyandSecurityStandards.asp" TargetMode="External"/><Relationship Id="rId10" Type="http://schemas.openxmlformats.org/officeDocument/2006/relationships/hyperlink" Target="http://www.hhs.gov/ocr/privacy/hipaa/understanding/coveredentities/breachnotificationifr.html" TargetMode="External"/><Relationship Id="rId4" Type="http://schemas.openxmlformats.org/officeDocument/2006/relationships/settings" Target="settings.xml"/><Relationship Id="rId9" Type="http://schemas.openxmlformats.org/officeDocument/2006/relationships/hyperlink" Target="http://transparency.cit.nih.gov/breach/index.cfm" TargetMode="External"/><Relationship Id="rId14" Type="http://schemas.openxmlformats.org/officeDocument/2006/relationships/hyperlink" Target="http://www.hhs.gov/ocr/priva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ag.state.tx.us/notice/hip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8DC5-6B44-491B-B46A-2BFD5A65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5320</Words>
  <Characters>30324</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Monge</dc:creator>
  <cp:lastModifiedBy>swilson</cp:lastModifiedBy>
  <cp:revision>2</cp:revision>
  <cp:lastPrinted>2011-01-31T15:09:00Z</cp:lastPrinted>
  <dcterms:created xsi:type="dcterms:W3CDTF">2012-03-19T16:23:00Z</dcterms:created>
  <dcterms:modified xsi:type="dcterms:W3CDTF">2012-03-19T16:23:00Z</dcterms:modified>
</cp:coreProperties>
</file>